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9858428" w:displacedByCustomXml="next"/>
    <w:sdt>
      <w:sdtPr>
        <w:rPr>
          <w:rFonts w:ascii="Calibri" w:eastAsia="Calibri" w:hAnsi="Calibri" w:cs="Times New Roman"/>
          <w:lang w:val="hr-BA"/>
        </w:rPr>
        <w:id w:val="-1708091860"/>
        <w:docPartObj>
          <w:docPartGallery w:val="Cover Page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:rsidR="00957927" w:rsidRDefault="00957927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C82A92" w:rsidRDefault="00C82A92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Maj.  2019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S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C82A92" w:rsidRDefault="00C82A92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Maj.  2019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2A92" w:rsidRDefault="00C82A92">
                                <w:pPr>
                                  <w:pStyle w:val="NoSpacing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C82A92" w:rsidRDefault="00D526EE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ny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C82A92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Ministarstvo finansija Unsko-sanskog kantona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k9lpVnMCAABbBQAADgAAAAAAAAAAAAAA&#10;AAAuAgAAZHJzL2Uyb0RvYy54bWxQSwECLQAUAAYACAAAACEA0UvQbtkAAAAEAQAADwAAAAAAAAAA&#10;AAAAAADNBAAAZHJzL2Rvd25yZXYueG1sUEsFBgAAAAAEAAQA8wAAANMFAAAAAA==&#10;" filled="f" stroked="f" strokeweight=".5pt">
                    <v:textbox style="mso-fit-shape-to-text:t" inset="0,0,0,0">
                      <w:txbxContent>
                        <w:p w:rsidR="00C82A92" w:rsidRDefault="00C82A92">
                          <w:pPr>
                            <w:pStyle w:val="NoSpacing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  <w:p w:rsidR="00C82A92" w:rsidRDefault="00C82A92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Ministarstvo finansija Unsko-sanskog kantona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957927" w:rsidRDefault="00957927">
          <w:pPr>
            <w:rPr>
              <w:rFonts w:ascii="Times New Roman" w:eastAsia="Times New Roman" w:hAnsi="Times New Roman"/>
              <w:b/>
              <w:bCs/>
              <w:kern w:val="32"/>
              <w:sz w:val="28"/>
              <w:szCs w:val="32"/>
              <w:lang w:val="en-GB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236855</wp:posOffset>
                    </wp:positionH>
                    <wp:positionV relativeFrom="page">
                      <wp:posOffset>4312920</wp:posOffset>
                    </wp:positionV>
                    <wp:extent cx="5625058" cy="1127760"/>
                    <wp:effectExtent l="0" t="0" r="13970" b="1524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25058" cy="1127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2A92" w:rsidRPr="00A5364D" w:rsidRDefault="00C82A92" w:rsidP="00276F34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 w:rsidRPr="00A5364D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262626" w:themeColor="text1" w:themeTint="D9"/>
                                    <w:sz w:val="40"/>
                                  </w:rPr>
                                  <w:t xml:space="preserve">Smjernice ekonomske </w:t>
                                </w:r>
                                <w: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262626" w:themeColor="text1" w:themeTint="D9"/>
                                    <w:sz w:val="40"/>
                                  </w:rPr>
                                  <w:t>i</w:t>
                                </w:r>
                                <w:r w:rsidRPr="00A5364D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262626" w:themeColor="text1" w:themeTint="D9"/>
                                    <w:sz w:val="40"/>
                                  </w:rPr>
                                  <w:t xml:space="preserve"> fiskalne politike Unsko-sanskog kantona </w:t>
                                </w:r>
                                <w:r w:rsidRPr="00A5364D">
                                  <w:rPr>
                                    <w:rFonts w:ascii="Times New Roman" w:hAnsi="Times New Roman" w:cs="Times New Roman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za period 2020 do 2022. godina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56" type="#_x0000_t202" style="position:absolute;margin-left:18.65pt;margin-top:339.6pt;width:442.9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" filled="f" stroked="f" strokeweight=".5pt">
                    <v:textbox inset="0,0,0,0">
                      <w:txbxContent>
                        <w:p w:rsidR="00C82A92" w:rsidRPr="00A5364D" w:rsidRDefault="00C82A92" w:rsidP="00276F34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proofErr w:type="spellStart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>Smjernice</w:t>
                          </w:r>
                          <w:proofErr w:type="spellEnd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 xml:space="preserve"> </w:t>
                          </w:r>
                          <w:proofErr w:type="spellStart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>ekonomske</w:t>
                          </w:r>
                          <w:proofErr w:type="spellEnd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>i</w:t>
                          </w:r>
                          <w:proofErr w:type="spellEnd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 xml:space="preserve"> </w:t>
                          </w:r>
                          <w:proofErr w:type="spellStart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>fiskalne</w:t>
                          </w:r>
                          <w:proofErr w:type="spellEnd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 xml:space="preserve"> </w:t>
                          </w:r>
                          <w:proofErr w:type="spellStart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>politike</w:t>
                          </w:r>
                          <w:proofErr w:type="spellEnd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 xml:space="preserve"> </w:t>
                          </w:r>
                          <w:proofErr w:type="spellStart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>Unsko-sanskog</w:t>
                          </w:r>
                          <w:proofErr w:type="spellEnd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 xml:space="preserve"> </w:t>
                          </w:r>
                          <w:proofErr w:type="spellStart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>kantona</w:t>
                          </w:r>
                          <w:proofErr w:type="spellEnd"/>
                          <w:r w:rsidRPr="00A5364D">
                            <w:rPr>
                              <w:rFonts w:ascii="Times New Roman" w:eastAsiaTheme="majorEastAsia" w:hAnsi="Times New Roman" w:cs="Times New Roman"/>
                              <w:b/>
                              <w:color w:val="262626" w:themeColor="text1" w:themeTint="D9"/>
                              <w:sz w:val="40"/>
                            </w:rPr>
                            <w:t xml:space="preserve"> </w:t>
                          </w:r>
                          <w:r w:rsidRPr="00A5364D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  <w:t>za period 2020 do 2022. godina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Times New Roman" w:hAnsi="Times New Roman"/>
              <w:sz w:val="28"/>
            </w:rPr>
            <w:br w:type="page"/>
          </w:r>
        </w:p>
      </w:sdtContent>
    </w:sdt>
    <w:p w:rsidR="00FA5063" w:rsidRPr="00D321A9" w:rsidRDefault="00D321A9" w:rsidP="00D321A9">
      <w:pPr>
        <w:pStyle w:val="Heading1"/>
        <w:rPr>
          <w:rFonts w:ascii="Times New Roman" w:hAnsi="Times New Roman"/>
          <w:sz w:val="28"/>
        </w:rPr>
      </w:pPr>
      <w:r w:rsidRPr="00D321A9">
        <w:rPr>
          <w:rFonts w:ascii="Times New Roman" w:hAnsi="Times New Roman"/>
          <w:sz w:val="28"/>
        </w:rPr>
        <w:lastRenderedPageBreak/>
        <w:t>SADRŽAJ</w:t>
      </w:r>
      <w:bookmarkEnd w:id="0"/>
    </w:p>
    <w:p w:rsidR="00FA5063" w:rsidRDefault="00FA5063" w:rsidP="00FA5063"/>
    <w:p w:rsidR="00FA5063" w:rsidRDefault="00FA5063" w:rsidP="00FA5063"/>
    <w:sdt>
      <w:sdtPr>
        <w:rPr>
          <w:rFonts w:ascii="Calibri" w:eastAsia="Calibri" w:hAnsi="Calibri" w:cs="Times New Roman"/>
          <w:color w:val="auto"/>
          <w:sz w:val="22"/>
          <w:szCs w:val="22"/>
          <w:lang w:val="hr-BA"/>
        </w:rPr>
        <w:id w:val="6936544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A5063" w:rsidRDefault="00FA5063">
          <w:pPr>
            <w:pStyle w:val="TOCHeading"/>
          </w:pPr>
        </w:p>
        <w:p w:rsidR="00D321A9" w:rsidRDefault="00F475EB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9858428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SADRŽAJ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_Toc9858428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0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29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UVOD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_Toc9858429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2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30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1. STRATEŠKI CILJEVI EKONOMSKE I FISKALNE POLITIKE U FEDERACIJI  BIH I UNSKO-SANSKOM KANTONU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_Toc9858430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3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31" w:history="1">
            <w:r w:rsidR="00D321A9" w:rsidRPr="00520884">
              <w:rPr>
                <w:rStyle w:val="Hyperlink"/>
                <w:noProof/>
              </w:rPr>
              <w:t>2.1.Ekonomski rast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_Toc9858431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5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32" w:history="1">
            <w:r w:rsidR="00D321A9" w:rsidRPr="00520884">
              <w:rPr>
                <w:rStyle w:val="Hyperlink"/>
                <w:rFonts w:ascii="Times New Roman" w:hAnsi="Times New Roman"/>
                <w:noProof/>
                <w:lang w:eastAsia="hr-BA"/>
              </w:rPr>
              <w:t>2.2. Industrijska proizvodnja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_Toc9858432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7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33" w:history="1">
            <w:r w:rsidR="00D321A9" w:rsidRPr="00520884">
              <w:rPr>
                <w:rStyle w:val="Hyperlink"/>
                <w:rFonts w:eastAsia="TimesNewRomanPSMT"/>
                <w:noProof/>
                <w:lang w:eastAsia="hr-HR"/>
              </w:rPr>
              <w:t xml:space="preserve">2.3. </w:t>
            </w:r>
            <w:r w:rsidR="00D321A9" w:rsidRPr="00520884">
              <w:rPr>
                <w:rStyle w:val="Hyperlink"/>
                <w:rFonts w:ascii="Times New Roman" w:eastAsia="TimesNewRomanPSMT" w:hAnsi="Times New Roman"/>
                <w:noProof/>
                <w:lang w:eastAsia="hr-HR"/>
              </w:rPr>
              <w:t>Tržište</w:t>
            </w:r>
            <w:r w:rsidR="00D321A9" w:rsidRPr="00520884">
              <w:rPr>
                <w:rStyle w:val="Hyperlink"/>
                <w:rFonts w:eastAsia="TimesNewRomanPSMT"/>
                <w:noProof/>
                <w:lang w:eastAsia="hr-HR"/>
              </w:rPr>
              <w:t xml:space="preserve"> rada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_Toc9858433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7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34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3. OSNOVNI POKAZATELJI EKONOMSKE I FISKALNE POLITIKE FBiH i UNSKO-SANSKOG KANTONA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_Toc9858434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10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35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4. PRETPOSTAVKE DRUŠTVENOG I PRIVREDNOG RAZVOJA ZA BUDŽETSKU I ZA SLJEDEĆE DVIJE GODINE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_Toc9858435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12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36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5. PROCJENA PRIHODA BUDŽETA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_Toc9858436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14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37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5.1. Prihodi od indirektnih poreza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_Toc9858437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15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38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5.2. Prihodi od direktnih poreza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_Toc9858438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15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39" w:history="1">
            <w:r w:rsidR="00D321A9" w:rsidRPr="00520884">
              <w:rPr>
                <w:rStyle w:val="Hyperlink"/>
                <w:rFonts w:ascii="Times New Roman" w:hAnsi="Times New Roman"/>
                <w:noProof/>
                <w:lang w:val="hr-HR"/>
              </w:rPr>
              <w:t>5.2.1.Porez na dohodak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_Toc9858439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16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40" w:history="1">
            <w:r w:rsidR="00D321A9" w:rsidRPr="00520884">
              <w:rPr>
                <w:rStyle w:val="Hyperlink"/>
                <w:rFonts w:ascii="Times New Roman" w:hAnsi="Times New Roman"/>
                <w:noProof/>
                <w:lang w:val="hr-HR"/>
              </w:rPr>
              <w:t>5.2.2.Porez na dobit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_Toc9858440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16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41" w:history="1">
            <w:r w:rsidR="00D321A9" w:rsidRPr="00520884">
              <w:rPr>
                <w:rStyle w:val="Hyperlink"/>
                <w:rFonts w:ascii="Times New Roman" w:hAnsi="Times New Roman"/>
                <w:noProof/>
                <w:lang w:eastAsia="bs-Latn-BA"/>
              </w:rPr>
              <w:t>5.3. Ukupni prihodi kantona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_Toc9858441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17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42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6. PREDVIĐENE PROMJENE JAVNOG DUGA I STRATEGIJA UPRAVLJANJA JAVNIM DUGOM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_Toc9858442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19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43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6.1. Obaveze kantona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_Toc9858443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19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44" w:history="1">
            <w:r w:rsidR="00D321A9" w:rsidRPr="00520884">
              <w:rPr>
                <w:rStyle w:val="Hyperlink"/>
                <w:rFonts w:ascii="Times New Roman" w:hAnsi="Times New Roman"/>
                <w:noProof/>
              </w:rPr>
              <w:t>6.1.1.Kratkoročne obaveze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_Toc9858444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20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D321A9" w:rsidRDefault="00D526EE">
          <w:pPr>
            <w:pStyle w:val="TOC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9858445" w:history="1">
            <w:r w:rsidR="00D321A9" w:rsidRPr="00520884">
              <w:rPr>
                <w:rStyle w:val="Hyperlink"/>
                <w:noProof/>
              </w:rPr>
              <w:t>6.1.2. Dugoročne obaveze</w:t>
            </w:r>
            <w:r w:rsidR="00D321A9">
              <w:rPr>
                <w:noProof/>
                <w:webHidden/>
              </w:rPr>
              <w:tab/>
            </w:r>
            <w:r w:rsidR="00D321A9">
              <w:rPr>
                <w:noProof/>
                <w:webHidden/>
              </w:rPr>
              <w:fldChar w:fldCharType="begin"/>
            </w:r>
            <w:r w:rsidR="00D321A9">
              <w:rPr>
                <w:noProof/>
                <w:webHidden/>
              </w:rPr>
              <w:instrText xml:space="preserve"> PAGEREF _Toc9858445 \h </w:instrText>
            </w:r>
            <w:r w:rsidR="00D321A9">
              <w:rPr>
                <w:noProof/>
                <w:webHidden/>
              </w:rPr>
            </w:r>
            <w:r w:rsidR="00D321A9">
              <w:rPr>
                <w:noProof/>
                <w:webHidden/>
              </w:rPr>
              <w:fldChar w:fldCharType="separate"/>
            </w:r>
            <w:r w:rsidR="00C82A92">
              <w:rPr>
                <w:noProof/>
                <w:webHidden/>
              </w:rPr>
              <w:t>22</w:t>
            </w:r>
            <w:r w:rsidR="00D321A9">
              <w:rPr>
                <w:noProof/>
                <w:webHidden/>
              </w:rPr>
              <w:fldChar w:fldCharType="end"/>
            </w:r>
          </w:hyperlink>
        </w:p>
        <w:p w:rsidR="00FA5063" w:rsidRDefault="00F475EB">
          <w:r>
            <w:fldChar w:fldCharType="end"/>
          </w:r>
        </w:p>
      </w:sdtContent>
    </w:sdt>
    <w:p w:rsidR="00FA5063" w:rsidRDefault="00FA5063" w:rsidP="00FA5063"/>
    <w:p w:rsidR="00FA5063" w:rsidRDefault="00FA5063" w:rsidP="00FA5063"/>
    <w:p w:rsidR="00FA5063" w:rsidRDefault="00FA5063" w:rsidP="00FA5063"/>
    <w:p w:rsidR="00FA5063" w:rsidRDefault="00FA5063" w:rsidP="00FA5063"/>
    <w:p w:rsidR="00FA5063" w:rsidRDefault="00FA5063" w:rsidP="00FA5063"/>
    <w:p w:rsidR="00FA5063" w:rsidRDefault="00FA5063" w:rsidP="00FA5063"/>
    <w:p w:rsidR="00FA5063" w:rsidRDefault="00FA5063" w:rsidP="00FA5063"/>
    <w:p w:rsidR="004746F9" w:rsidRPr="00F475EB" w:rsidRDefault="004746F9" w:rsidP="00023EEA">
      <w:pPr>
        <w:pStyle w:val="Heading1"/>
        <w:rPr>
          <w:sz w:val="28"/>
          <w:szCs w:val="28"/>
        </w:rPr>
      </w:pPr>
      <w:bookmarkStart w:id="1" w:name="_Toc9858429"/>
      <w:r w:rsidRPr="00F475EB">
        <w:rPr>
          <w:rFonts w:ascii="Times New Roman" w:hAnsi="Times New Roman"/>
          <w:sz w:val="28"/>
          <w:szCs w:val="28"/>
        </w:rPr>
        <w:lastRenderedPageBreak/>
        <w:t>UVOD</w:t>
      </w:r>
      <w:bookmarkEnd w:id="1"/>
    </w:p>
    <w:p w:rsidR="004746F9" w:rsidRDefault="004746F9" w:rsidP="004746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sa članom 17. </w:t>
      </w:r>
      <w:r w:rsidR="00650FB6" w:rsidRPr="007D7B4D">
        <w:rPr>
          <w:rFonts w:ascii="Times New Roman" w:hAnsi="Times New Roman"/>
          <w:sz w:val="24"/>
          <w:szCs w:val="24"/>
        </w:rPr>
        <w:t>Zakon</w:t>
      </w:r>
      <w:r w:rsidR="00D10FE8">
        <w:rPr>
          <w:rFonts w:ascii="Times New Roman" w:hAnsi="Times New Roman"/>
          <w:sz w:val="24"/>
          <w:szCs w:val="24"/>
        </w:rPr>
        <w:t>a</w:t>
      </w:r>
      <w:r w:rsidR="00650FB6" w:rsidRPr="007D7B4D">
        <w:rPr>
          <w:rFonts w:ascii="Times New Roman" w:hAnsi="Times New Roman"/>
          <w:sz w:val="24"/>
          <w:szCs w:val="24"/>
        </w:rPr>
        <w:t xml:space="preserve"> o budžetima Federacije BiH</w:t>
      </w:r>
      <w:r w:rsidR="00650FB6" w:rsidRPr="007D7B4D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650FB6" w:rsidRPr="007D7B4D">
        <w:rPr>
          <w:rFonts w:ascii="Times New Roman" w:hAnsi="Times New Roman"/>
          <w:sz w:val="24"/>
          <w:szCs w:val="24"/>
        </w:rPr>
        <w:t xml:space="preserve">, </w:t>
      </w:r>
      <w:r w:rsidR="00650FB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ripremljen je dokument „Smjernice ekonomske i fiskalne politike Unsko-sanskog kantona za period 20</w:t>
      </w:r>
      <w:r w:rsidR="00EE7C2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</w:t>
      </w:r>
      <w:r w:rsidR="00ED5428">
        <w:rPr>
          <w:rFonts w:ascii="Times New Roman" w:hAnsi="Times New Roman"/>
          <w:sz w:val="24"/>
          <w:szCs w:val="24"/>
        </w:rPr>
        <w:t>2</w:t>
      </w:r>
      <w:r w:rsidR="00EE7C2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“, kao bazne osnove za projekciju prihoda i rashoda za pripremu Budžeta Unsko-sanskog kantona za 20</w:t>
      </w:r>
      <w:r w:rsidR="00EE7C2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.godinu.</w:t>
      </w:r>
    </w:p>
    <w:p w:rsidR="00650FB6" w:rsidRPr="00650FB6" w:rsidRDefault="00650FB6" w:rsidP="00650FB6">
      <w:pPr>
        <w:tabs>
          <w:tab w:val="left" w:pos="11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0FB6">
        <w:rPr>
          <w:rFonts w:ascii="Times New Roman" w:hAnsi="Times New Roman"/>
          <w:sz w:val="24"/>
          <w:szCs w:val="24"/>
        </w:rPr>
        <w:t xml:space="preserve">Pod fiskalnom politikom podrazumijeva se ponajprije upravljanje budžetskim prihodima u svrhu finansiranja javnih rashoda. Cilj je postići privredni rast uz istovremeno visoku zaposlenost i nisku inflaciju, a isti je u potpunosti ostvariv jedino uz kombinaciju instrumenata fiskalne politike. </w:t>
      </w:r>
    </w:p>
    <w:p w:rsidR="00650FB6" w:rsidRPr="007D7B4D" w:rsidRDefault="00650FB6" w:rsidP="00650FB6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7D7B4D">
        <w:rPr>
          <w:rFonts w:ascii="Times New Roman" w:hAnsi="Times New Roman"/>
          <w:sz w:val="24"/>
          <w:szCs w:val="24"/>
        </w:rPr>
        <w:t>S</w:t>
      </w:r>
      <w:r w:rsidRPr="007D7B4D">
        <w:rPr>
          <w:rFonts w:ascii="Times New Roman" w:eastAsia="Times New Roman" w:hAnsi="Times New Roman"/>
          <w:sz w:val="24"/>
          <w:szCs w:val="24"/>
        </w:rPr>
        <w:t xml:space="preserve">vrha ovog dokumenta je prvenstveno definisati smjer i ciljeve </w:t>
      </w:r>
      <w:r w:rsidRPr="00BF2CE0">
        <w:rPr>
          <w:rFonts w:ascii="Times New Roman" w:eastAsia="Times New Roman" w:hAnsi="Times New Roman"/>
          <w:i/>
          <w:sz w:val="24"/>
          <w:szCs w:val="24"/>
        </w:rPr>
        <w:t>ekonomske i fiskalne politike</w:t>
      </w:r>
      <w:r w:rsidRPr="007D7B4D">
        <w:rPr>
          <w:rFonts w:ascii="Times New Roman" w:eastAsia="Times New Roman" w:hAnsi="Times New Roman"/>
          <w:sz w:val="24"/>
          <w:szCs w:val="24"/>
        </w:rPr>
        <w:t xml:space="preserve">, kao i visinu finansijskih planova budžetskih i vanbudžetskih korisnika, s fokusom na dalju provedbu fiskalne konsolidacije i </w:t>
      </w:r>
      <w:r w:rsidRPr="007D7B4D">
        <w:rPr>
          <w:rFonts w:ascii="Times New Roman" w:hAnsi="Times New Roman"/>
          <w:sz w:val="24"/>
          <w:szCs w:val="24"/>
        </w:rPr>
        <w:t>politike smanjenja/ograničavanja javne potrošnje na svim nivoima vlasti u Federaciji BiH.</w:t>
      </w:r>
    </w:p>
    <w:p w:rsidR="007D7B4D" w:rsidRPr="007D7B4D" w:rsidRDefault="00650FB6" w:rsidP="007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0FB6">
        <w:rPr>
          <w:rFonts w:ascii="Times New Roman" w:hAnsi="Times New Roman"/>
          <w:sz w:val="24"/>
          <w:szCs w:val="24"/>
          <w:lang w:val="pl-PL"/>
        </w:rPr>
        <w:t>Kao osnov za izradu godišnjih i srednjoročnih planova nižih nivoa vlasti, Federalno ministarstvo finansija je Smjernice</w:t>
      </w:r>
      <w:r w:rsidR="00BF2CE0">
        <w:rPr>
          <w:rFonts w:ascii="Times New Roman" w:hAnsi="Times New Roman"/>
          <w:sz w:val="24"/>
          <w:szCs w:val="24"/>
          <w:lang w:val="pl-PL"/>
        </w:rPr>
        <w:t xml:space="preserve"> ekonomske i fiskalne politike FBiH za period 2020. do 2022. godina</w:t>
      </w:r>
      <w:r w:rsidRPr="00650FB6">
        <w:rPr>
          <w:rFonts w:ascii="Times New Roman" w:hAnsi="Times New Roman"/>
          <w:sz w:val="24"/>
          <w:szCs w:val="24"/>
          <w:lang w:val="pl-PL"/>
        </w:rPr>
        <w:t xml:space="preserve"> do 15. maja tekuće godine dostavilo Vladi Federacije BiH na razmatranje i usvajanje.</w:t>
      </w:r>
      <w:bookmarkStart w:id="2" w:name="_Hlk9335794"/>
      <w:r w:rsidR="00D223B6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Na osnovu</w:t>
      </w:r>
      <w:r w:rsidR="00D223B6">
        <w:rPr>
          <w:rFonts w:ascii="Times New Roman" w:hAnsi="Times New Roman"/>
          <w:sz w:val="24"/>
          <w:szCs w:val="24"/>
          <w:lang w:val="pl-PL"/>
        </w:rPr>
        <w:t xml:space="preserve"> istih</w:t>
      </w:r>
      <w:r w:rsidR="007D7B4D" w:rsidRPr="007D7B4D">
        <w:rPr>
          <w:rFonts w:ascii="Times New Roman" w:hAnsi="Times New Roman"/>
          <w:sz w:val="24"/>
          <w:szCs w:val="24"/>
        </w:rPr>
        <w:t xml:space="preserve">, </w:t>
      </w:r>
      <w:bookmarkEnd w:id="2"/>
      <w:r w:rsidR="007D7B4D" w:rsidRPr="007D7B4D">
        <w:rPr>
          <w:rFonts w:ascii="Times New Roman" w:hAnsi="Times New Roman"/>
          <w:sz w:val="24"/>
          <w:szCs w:val="24"/>
        </w:rPr>
        <w:t xml:space="preserve">Vlada </w:t>
      </w:r>
      <w:r>
        <w:rPr>
          <w:rFonts w:ascii="Times New Roman" w:hAnsi="Times New Roman"/>
          <w:sz w:val="24"/>
          <w:szCs w:val="24"/>
        </w:rPr>
        <w:t>Kantona</w:t>
      </w:r>
      <w:r w:rsidR="007D7B4D" w:rsidRPr="007D7B4D">
        <w:rPr>
          <w:rFonts w:ascii="Times New Roman" w:hAnsi="Times New Roman"/>
          <w:sz w:val="24"/>
          <w:szCs w:val="24"/>
        </w:rPr>
        <w:t xml:space="preserve">, na prijedlog </w:t>
      </w:r>
      <w:r>
        <w:rPr>
          <w:rFonts w:ascii="Times New Roman" w:hAnsi="Times New Roman"/>
          <w:sz w:val="24"/>
          <w:szCs w:val="24"/>
        </w:rPr>
        <w:t>M</w:t>
      </w:r>
      <w:r w:rsidR="007D7B4D" w:rsidRPr="007D7B4D">
        <w:rPr>
          <w:rFonts w:ascii="Times New Roman" w:hAnsi="Times New Roman"/>
          <w:sz w:val="24"/>
          <w:szCs w:val="24"/>
        </w:rPr>
        <w:t xml:space="preserve">inistarstva finansija, do 31. maja tekuće godine donosi Smjernice ekonomske i fiskalne politike (u daljem tekstu: Smjernice) za  naredni srednjoročni period, koje će potom biti objavljene na web stranici </w:t>
      </w:r>
      <w:r>
        <w:rPr>
          <w:rFonts w:ascii="Times New Roman" w:hAnsi="Times New Roman"/>
          <w:sz w:val="24"/>
          <w:szCs w:val="24"/>
        </w:rPr>
        <w:t xml:space="preserve"> M</w:t>
      </w:r>
      <w:r w:rsidR="007D7B4D" w:rsidRPr="007D7B4D">
        <w:rPr>
          <w:rFonts w:ascii="Times New Roman" w:hAnsi="Times New Roman"/>
          <w:sz w:val="24"/>
          <w:szCs w:val="24"/>
        </w:rPr>
        <w:t xml:space="preserve">inistarstva finansija. </w:t>
      </w:r>
    </w:p>
    <w:p w:rsidR="004746F9" w:rsidRDefault="004746F9" w:rsidP="004746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Kako su u toku paralelni procesi pripreme Dokumenta okvirnog budžeta ( DOB ) Unsko-</w:t>
      </w:r>
      <w:r w:rsidR="005A03E6">
        <w:rPr>
          <w:rFonts w:ascii="Times New Roman" w:hAnsi="Times New Roman"/>
          <w:sz w:val="24"/>
          <w:szCs w:val="24"/>
        </w:rPr>
        <w:t xml:space="preserve"> </w:t>
      </w:r>
      <w:r w:rsidR="00572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sanskog kantona za period 20</w:t>
      </w:r>
      <w:r w:rsidR="00EE7C2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 -20</w:t>
      </w:r>
      <w:r w:rsidR="00ED5428">
        <w:rPr>
          <w:rFonts w:ascii="Times New Roman" w:hAnsi="Times New Roman"/>
          <w:sz w:val="24"/>
          <w:szCs w:val="24"/>
        </w:rPr>
        <w:t>2</w:t>
      </w:r>
      <w:r w:rsidR="00EE7C2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godine, pri izradi smjernica korištene su srednjoročne projekcije i godišnje procjene prihoda i rashoda.</w:t>
      </w:r>
    </w:p>
    <w:p w:rsidR="004746F9" w:rsidRDefault="004746F9" w:rsidP="004746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dokument treba da odražava utjecaj svih aktuelnih procesa iz okruženja, sa aspekta mogućih implikacija na fiskalni kapacitet Unsko-sanskog kantona, kao i da poboljša koordinaciju Vlade kantona, gradova, općina i vanbudžetskih fondov</w:t>
      </w:r>
      <w:r w:rsidR="00ED5428">
        <w:rPr>
          <w:rFonts w:ascii="Times New Roman" w:hAnsi="Times New Roman"/>
          <w:sz w:val="24"/>
          <w:szCs w:val="24"/>
        </w:rPr>
        <w:t>a na pripremi budžeta za 20</w:t>
      </w:r>
      <w:r w:rsidR="00EE7C2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 godinu.</w:t>
      </w:r>
    </w:p>
    <w:p w:rsidR="004746F9" w:rsidRDefault="004746F9" w:rsidP="004746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Još jedan bitan cilj smjernica je da osigura realan, sveobuhvatan i konsolidovan okvir planiranja rashoda, čime se postiže funkcionalna povezanost provođenja sveukupnih aktivnosti u koncipiranju uravnoteženog okvira prihoda i rashoda, za sve nivoe vlasti Federacije Bosne i Hercegovine, uključujući Budžet Federacije, kantona, gradova, općina i vanbudžetskih fondova shodno odredbama Zakona o budžetima, koje je svakako neophodno posmatrati u najširem kontekstu, odnosno u kontekstu ukupnog fiskalnog kapaciteta.</w:t>
      </w:r>
    </w:p>
    <w:p w:rsidR="004746F9" w:rsidRDefault="004746F9" w:rsidP="004746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Dokumentacionu osnovu za izradu Smjernica ekonomske i fiskalne politike Unsko-sanskog kantona za priod 20</w:t>
      </w:r>
      <w:r w:rsidR="00EE7C2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.-20</w:t>
      </w:r>
      <w:r w:rsidR="00ED5428">
        <w:rPr>
          <w:rFonts w:ascii="Times New Roman" w:hAnsi="Times New Roman"/>
          <w:sz w:val="24"/>
          <w:szCs w:val="24"/>
        </w:rPr>
        <w:t>2</w:t>
      </w:r>
      <w:r w:rsidR="00EE7C2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godinu predstavljaju:</w:t>
      </w:r>
    </w:p>
    <w:p w:rsidR="004746F9" w:rsidRDefault="004746F9" w:rsidP="004746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Revidirane projekcije prihoda od indirektnih i direktnih poreza kantona, gradova i općina kantona od strane Federalnog ministarstva finansija, kao i odgovarajući statistički pokazatelji i informacije,</w:t>
      </w:r>
    </w:p>
    <w:p w:rsidR="004746F9" w:rsidRDefault="004746F9" w:rsidP="004746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Izvršenje Budže</w:t>
      </w:r>
      <w:r w:rsidR="00ED5428">
        <w:rPr>
          <w:rFonts w:ascii="Times New Roman" w:hAnsi="Times New Roman"/>
          <w:sz w:val="24"/>
          <w:szCs w:val="24"/>
        </w:rPr>
        <w:t>ta Unsko-sanskog kantona za 201</w:t>
      </w:r>
      <w:r w:rsidR="000B168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godinu,</w:t>
      </w:r>
    </w:p>
    <w:p w:rsidR="004746F9" w:rsidRDefault="004746F9" w:rsidP="004746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Pokazatelji koji se odnose na nivo ostvarenih prihoda i aktuelnih pitanja i izvršenja </w:t>
      </w:r>
      <w:r w:rsidR="00ED5428">
        <w:rPr>
          <w:rFonts w:ascii="Times New Roman" w:hAnsi="Times New Roman"/>
          <w:sz w:val="24"/>
          <w:szCs w:val="24"/>
        </w:rPr>
        <w:t>budžeta u proteklom periodu 201</w:t>
      </w:r>
      <w:r w:rsidR="000B168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godine,</w:t>
      </w:r>
    </w:p>
    <w:p w:rsidR="004746F9" w:rsidRDefault="004746F9" w:rsidP="004746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Podaci zavoda za statistiku Federacije Bosne i Hercegovine,</w:t>
      </w:r>
    </w:p>
    <w:p w:rsidR="004746F9" w:rsidRDefault="004746F9" w:rsidP="004746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Publikacije Direkcije za ekonomsko planiranje BiH.</w:t>
      </w:r>
    </w:p>
    <w:p w:rsidR="002125C2" w:rsidRDefault="002125C2" w:rsidP="004746F9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746F9" w:rsidRPr="00B05853" w:rsidRDefault="004746F9" w:rsidP="004746F9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05853">
        <w:rPr>
          <w:rFonts w:ascii="Times New Roman" w:hAnsi="Times New Roman"/>
          <w:b/>
          <w:sz w:val="24"/>
          <w:szCs w:val="24"/>
        </w:rPr>
        <w:t>Smjernice ekonomske i fiskalne politike Unsko-sanskog kantona za priod 20</w:t>
      </w:r>
      <w:r w:rsidR="000B1687">
        <w:rPr>
          <w:rFonts w:ascii="Times New Roman" w:hAnsi="Times New Roman"/>
          <w:b/>
          <w:sz w:val="24"/>
          <w:szCs w:val="24"/>
        </w:rPr>
        <w:t>20</w:t>
      </w:r>
      <w:r w:rsidRPr="00B05853">
        <w:rPr>
          <w:rFonts w:ascii="Times New Roman" w:hAnsi="Times New Roman"/>
          <w:b/>
          <w:sz w:val="24"/>
          <w:szCs w:val="24"/>
        </w:rPr>
        <w:t>.-20</w:t>
      </w:r>
      <w:r w:rsidR="00ED5428">
        <w:rPr>
          <w:rFonts w:ascii="Times New Roman" w:hAnsi="Times New Roman"/>
          <w:b/>
          <w:sz w:val="24"/>
          <w:szCs w:val="24"/>
        </w:rPr>
        <w:t>2</w:t>
      </w:r>
      <w:r w:rsidR="000B1687">
        <w:rPr>
          <w:rFonts w:ascii="Times New Roman" w:hAnsi="Times New Roman"/>
          <w:b/>
          <w:sz w:val="24"/>
          <w:szCs w:val="24"/>
        </w:rPr>
        <w:t>2</w:t>
      </w:r>
      <w:r w:rsidRPr="00B05853">
        <w:rPr>
          <w:rFonts w:ascii="Times New Roman" w:hAnsi="Times New Roman"/>
          <w:b/>
          <w:sz w:val="24"/>
          <w:szCs w:val="24"/>
        </w:rPr>
        <w:t>. godine sadrže:</w:t>
      </w:r>
    </w:p>
    <w:p w:rsidR="004746F9" w:rsidRPr="009D4C5A" w:rsidRDefault="004746F9" w:rsidP="004746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Strateške ciljeve ekonomske i fiskalne politike </w:t>
      </w:r>
      <w:r w:rsidR="00584A45">
        <w:rPr>
          <w:rFonts w:ascii="Times New Roman" w:hAnsi="Times New Roman"/>
          <w:sz w:val="24"/>
          <w:szCs w:val="24"/>
        </w:rPr>
        <w:t xml:space="preserve">Federacije BiH i </w:t>
      </w:r>
      <w:r>
        <w:rPr>
          <w:rFonts w:ascii="Times New Roman" w:hAnsi="Times New Roman"/>
          <w:sz w:val="24"/>
          <w:szCs w:val="24"/>
        </w:rPr>
        <w:t>Unsko-sanskog kantona,</w:t>
      </w:r>
    </w:p>
    <w:p w:rsidR="004746F9" w:rsidRPr="009D4C5A" w:rsidRDefault="004746F9" w:rsidP="004746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Osnovne makroekonomske pokazatelje,</w:t>
      </w:r>
    </w:p>
    <w:p w:rsidR="004746F9" w:rsidRPr="009D4C5A" w:rsidRDefault="004746F9" w:rsidP="004746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Osnovne pokazatelje ekonomske i fiskalne politike </w:t>
      </w:r>
      <w:r w:rsidR="002125C2">
        <w:rPr>
          <w:rFonts w:ascii="Times New Roman" w:hAnsi="Times New Roman"/>
          <w:sz w:val="24"/>
          <w:szCs w:val="24"/>
        </w:rPr>
        <w:t xml:space="preserve">Federacije BiH i </w:t>
      </w:r>
      <w:r>
        <w:rPr>
          <w:rFonts w:ascii="Times New Roman" w:hAnsi="Times New Roman"/>
          <w:sz w:val="24"/>
          <w:szCs w:val="24"/>
        </w:rPr>
        <w:t>Unsko-sanskog kantona,</w:t>
      </w:r>
    </w:p>
    <w:p w:rsidR="004746F9" w:rsidRPr="009D4C5A" w:rsidRDefault="004746F9" w:rsidP="004746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Pretpostavke društvenog i privrednog razoja za </w:t>
      </w:r>
      <w:r w:rsidR="002125C2">
        <w:rPr>
          <w:rFonts w:ascii="Times New Roman" w:hAnsi="Times New Roman"/>
          <w:sz w:val="24"/>
          <w:szCs w:val="24"/>
        </w:rPr>
        <w:t>budžetsku</w:t>
      </w:r>
      <w:r>
        <w:rPr>
          <w:rFonts w:ascii="Times New Roman" w:hAnsi="Times New Roman"/>
          <w:sz w:val="24"/>
          <w:szCs w:val="24"/>
        </w:rPr>
        <w:t xml:space="preserve"> i za sljedeće dvije godine,</w:t>
      </w:r>
    </w:p>
    <w:p w:rsidR="004746F9" w:rsidRPr="009D4C5A" w:rsidRDefault="004746F9" w:rsidP="004746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Procjenu prihoda budžeta i</w:t>
      </w:r>
    </w:p>
    <w:p w:rsidR="00BF2CE0" w:rsidRPr="00BF2CE0" w:rsidRDefault="004746F9" w:rsidP="00BF2CE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D567D">
        <w:rPr>
          <w:rFonts w:ascii="Times New Roman" w:hAnsi="Times New Roman"/>
          <w:sz w:val="24"/>
          <w:szCs w:val="24"/>
        </w:rPr>
        <w:t>Predviđene promjene javnog duga i strategiju upravljenja javnim dugom.</w:t>
      </w:r>
    </w:p>
    <w:p w:rsidR="00BF2CE0" w:rsidRDefault="00BF2CE0" w:rsidP="00BF2CE0">
      <w:pPr>
        <w:jc w:val="both"/>
        <w:rPr>
          <w:rFonts w:ascii="Times New Roman" w:hAnsi="Times New Roman"/>
          <w:b/>
          <w:sz w:val="24"/>
          <w:szCs w:val="24"/>
        </w:rPr>
      </w:pPr>
      <w:r w:rsidRPr="00BF2CE0">
        <w:rPr>
          <w:rFonts w:ascii="Times New Roman" w:hAnsi="Times New Roman"/>
          <w:b/>
          <w:sz w:val="24"/>
          <w:szCs w:val="24"/>
        </w:rPr>
        <w:t xml:space="preserve">Ministarstvo finansija Unsko-sanskog kantona predlaže Vladi USK-a, da se usvoji ovaj dokument kao prvi korak u procesu pripreme Budžeta za 2020. godinu i da se istim potvrde predložena </w:t>
      </w:r>
      <w:r>
        <w:rPr>
          <w:rFonts w:ascii="Times New Roman" w:hAnsi="Times New Roman"/>
          <w:b/>
          <w:sz w:val="24"/>
          <w:szCs w:val="24"/>
        </w:rPr>
        <w:t xml:space="preserve">fiskalna </w:t>
      </w:r>
      <w:r w:rsidRPr="00BF2CE0">
        <w:rPr>
          <w:rFonts w:ascii="Times New Roman" w:hAnsi="Times New Roman"/>
          <w:b/>
          <w:sz w:val="24"/>
          <w:szCs w:val="24"/>
        </w:rPr>
        <w:t>ograničenja budžetske potrošnje za 2020. godinu.</w:t>
      </w:r>
    </w:p>
    <w:p w:rsidR="00BF2CE0" w:rsidRPr="00BF2CE0" w:rsidRDefault="00BF2CE0" w:rsidP="00BF2CE0">
      <w:pPr>
        <w:jc w:val="both"/>
        <w:rPr>
          <w:rFonts w:ascii="Times New Roman" w:hAnsi="Times New Roman"/>
          <w:b/>
          <w:sz w:val="24"/>
          <w:szCs w:val="24"/>
        </w:rPr>
      </w:pPr>
    </w:p>
    <w:p w:rsidR="004746F9" w:rsidRPr="00F475EB" w:rsidRDefault="005E080D" w:rsidP="005E080D">
      <w:pPr>
        <w:pStyle w:val="Heading1"/>
        <w:rPr>
          <w:rFonts w:ascii="Times New Roman" w:hAnsi="Times New Roman"/>
          <w:sz w:val="28"/>
        </w:rPr>
      </w:pPr>
      <w:bookmarkStart w:id="3" w:name="_Toc9858430"/>
      <w:r w:rsidRPr="00F475EB">
        <w:rPr>
          <w:rFonts w:ascii="Times New Roman" w:hAnsi="Times New Roman"/>
          <w:sz w:val="28"/>
        </w:rPr>
        <w:t>1.</w:t>
      </w:r>
      <w:r w:rsidR="004746F9" w:rsidRPr="00F475EB">
        <w:rPr>
          <w:rFonts w:ascii="Times New Roman" w:hAnsi="Times New Roman"/>
          <w:sz w:val="28"/>
        </w:rPr>
        <w:t xml:space="preserve"> STRATEŠKI CILJEVI EKONOMSKE I FISKALNE POLITIKE </w:t>
      </w:r>
      <w:r w:rsidR="00D223B6" w:rsidRPr="00F475EB">
        <w:rPr>
          <w:rFonts w:ascii="Times New Roman" w:hAnsi="Times New Roman"/>
          <w:sz w:val="28"/>
        </w:rPr>
        <w:t xml:space="preserve">U FEDERACIJI  BIH I </w:t>
      </w:r>
      <w:r w:rsidR="004746F9" w:rsidRPr="00F475EB">
        <w:rPr>
          <w:rFonts w:ascii="Times New Roman" w:hAnsi="Times New Roman"/>
          <w:sz w:val="28"/>
        </w:rPr>
        <w:t>UNSKO-SANSKO</w:t>
      </w:r>
      <w:r w:rsidR="00D223B6" w:rsidRPr="00F475EB">
        <w:rPr>
          <w:rFonts w:ascii="Times New Roman" w:hAnsi="Times New Roman"/>
          <w:sz w:val="28"/>
        </w:rPr>
        <w:t>M</w:t>
      </w:r>
      <w:r w:rsidR="004746F9" w:rsidRPr="00F475EB">
        <w:rPr>
          <w:rFonts w:ascii="Times New Roman" w:hAnsi="Times New Roman"/>
          <w:sz w:val="28"/>
        </w:rPr>
        <w:t xml:space="preserve"> KANTON</w:t>
      </w:r>
      <w:r w:rsidR="00D223B6" w:rsidRPr="00F475EB">
        <w:rPr>
          <w:rFonts w:ascii="Times New Roman" w:hAnsi="Times New Roman"/>
          <w:sz w:val="28"/>
        </w:rPr>
        <w:t>U</w:t>
      </w:r>
      <w:bookmarkEnd w:id="3"/>
    </w:p>
    <w:p w:rsidR="009C7585" w:rsidRDefault="005846A6" w:rsidP="00E6179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1798">
        <w:rPr>
          <w:rFonts w:ascii="Times New Roman" w:hAnsi="Times New Roman"/>
          <w:sz w:val="24"/>
          <w:szCs w:val="24"/>
        </w:rPr>
        <w:t>Vlada Federacije BiH je u januaru 2019. godine usvojila Program ekonomskih reformi Federacije BiH za period 2019-2021. godina (ERP FBiH), kao sastavni dio Programa ekonomskih reformi Bosne i Hercegovine (ERP BiH). Ovaj dokument predstavlja stratešku odrednicu reformskih prioriteta Vlade Federacije BiH za naredni srednjoročni period, a u svrhu postizanja većeg stepena konvergencije sa standardima EU.</w:t>
      </w:r>
    </w:p>
    <w:p w:rsidR="00E61798" w:rsidRPr="009F69A7" w:rsidRDefault="009C7585" w:rsidP="00E61798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69A7">
        <w:rPr>
          <w:rFonts w:ascii="Times New Roman" w:hAnsi="Times New Roman"/>
          <w:sz w:val="24"/>
          <w:szCs w:val="24"/>
          <w:shd w:val="clear" w:color="auto" w:fill="FFFFFF"/>
        </w:rPr>
        <w:t>U skladu s Programom rada Vlade Federacije BiH za 2019. godinu, definisani su prioriteti koji se odnose na intenziviranje privrednog razvoja, jačanje unutrašnje društvene stabilnosti Federacije BiH i jačanja vladavine prava, te iniciranje i provođenje reformi usklađenih s potrebama Bosne i Hercegovine. Među prioritetima je i saradnja s drugim nivoima vlasti u BiH, posebno u radu na e</w:t>
      </w:r>
      <w:r w:rsidR="00B03F88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9F69A7">
        <w:rPr>
          <w:rFonts w:ascii="Times New Roman" w:hAnsi="Times New Roman"/>
          <w:sz w:val="24"/>
          <w:szCs w:val="24"/>
          <w:shd w:val="clear" w:color="auto" w:fill="FFFFFF"/>
        </w:rPr>
        <w:t>roatlanskim integracijama s ciljem obezbjeđenja dugoročno održivog i stabilnog sistema, koji će FBiH učiniti konkurentnijom.</w:t>
      </w:r>
      <w:r w:rsidR="00E61798" w:rsidRPr="009F69A7">
        <w:rPr>
          <w:rFonts w:ascii="Times New Roman" w:hAnsi="Times New Roman"/>
          <w:sz w:val="24"/>
          <w:szCs w:val="24"/>
          <w:shd w:val="clear" w:color="auto" w:fill="FFFFFF"/>
        </w:rPr>
        <w:t xml:space="preserve"> Za ostvarenje navedenih prioriteta, neophodna je provedba sveobuhvatnih strukturnih reformi, obuhvaćenih Programom ekonomskih reformi Federacije BiH za period 20</w:t>
      </w:r>
      <w:r w:rsidR="0079191D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E61798" w:rsidRPr="009F69A7">
        <w:rPr>
          <w:rFonts w:ascii="Times New Roman" w:hAnsi="Times New Roman"/>
          <w:sz w:val="24"/>
          <w:szCs w:val="24"/>
          <w:shd w:val="clear" w:color="auto" w:fill="FFFFFF"/>
        </w:rPr>
        <w:t>. -202</w:t>
      </w:r>
      <w:r w:rsidR="0079191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E61798" w:rsidRPr="009F69A7">
        <w:rPr>
          <w:rFonts w:ascii="Times New Roman" w:hAnsi="Times New Roman"/>
          <w:sz w:val="24"/>
          <w:szCs w:val="24"/>
          <w:shd w:val="clear" w:color="auto" w:fill="FFFFFF"/>
        </w:rPr>
        <w:t>. godina, a koje se odnose na:</w:t>
      </w:r>
    </w:p>
    <w:p w:rsidR="009C7585" w:rsidRPr="009C7585" w:rsidRDefault="009C7585" w:rsidP="009C758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7585">
        <w:rPr>
          <w:rFonts w:ascii="Times New Roman" w:hAnsi="Times New Roman"/>
          <w:sz w:val="24"/>
          <w:szCs w:val="24"/>
          <w:shd w:val="clear" w:color="auto" w:fill="FFFFFF"/>
        </w:rPr>
        <w:t xml:space="preserve">Reformu tržišta energije i transporta, koja podrazumijeva </w:t>
      </w:r>
      <w:r w:rsidRPr="009C7585">
        <w:rPr>
          <w:rFonts w:ascii="Times New Roman" w:hAnsi="Times New Roman"/>
          <w:sz w:val="24"/>
          <w:szCs w:val="24"/>
        </w:rPr>
        <w:t>unapređenje strateškog i zakonodavnog okvira u skladu sa Ugovorom o Energetskoj zajednici i energijske efikasnosti i korištenja obnovljivih izvora energije, te stvaranje održivog sistema finansiranja željezničke infrastrukture, unaprijeđenje stanja prometne infrastrukture u Federaciji BiH i poboljšanje modela finansiranja autocesta i cesta, sa akcentom na koncesije i javno privatno partnerstvo;</w:t>
      </w:r>
    </w:p>
    <w:p w:rsidR="009C7585" w:rsidRPr="009C7585" w:rsidRDefault="009C7585" w:rsidP="009C758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7585">
        <w:rPr>
          <w:rFonts w:ascii="Times New Roman" w:hAnsi="Times New Roman"/>
          <w:sz w:val="24"/>
          <w:szCs w:val="24"/>
        </w:rPr>
        <w:lastRenderedPageBreak/>
        <w:t>Poslovno okruženje i smanjenje neformalne ekonomije, jačanje poduzetništva kroz stvaranje povoljnog ambijenta smanjenjem administrativnih i finanijskih prepreka za rast i razvoj malog gospodarstva, unapređenje poduzetničke infrastrukture putem projekata podrške sektoru malih i srednjih preduzeća, za jačanje konkurentnosti i očuvanje i povećanje uposlenosti u ovom sektoru;</w:t>
      </w:r>
    </w:p>
    <w:p w:rsidR="009C7585" w:rsidRPr="009C7585" w:rsidRDefault="009C7585" w:rsidP="009C758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7585">
        <w:rPr>
          <w:rFonts w:ascii="Times New Roman" w:hAnsi="Times New Roman"/>
          <w:sz w:val="24"/>
          <w:szCs w:val="24"/>
        </w:rPr>
        <w:t>Sektorski razvoj poljoprivrede, kroz unapređenje poljoprivredne proizvodnje i turizam, unapređenje postojećeg pravnog okvira koji reguliše oblast turizma, turističkih zajednica, boravišne takse i ugostiteljstva;</w:t>
      </w:r>
    </w:p>
    <w:p w:rsidR="009C7585" w:rsidRPr="009C7585" w:rsidRDefault="009C7585" w:rsidP="009C758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7585">
        <w:rPr>
          <w:rFonts w:ascii="Times New Roman" w:hAnsi="Times New Roman"/>
          <w:sz w:val="24"/>
          <w:szCs w:val="24"/>
        </w:rPr>
        <w:t>Oblast okoliša, gdje je planirano unapređenje sistema upravljanja otpadom;</w:t>
      </w:r>
    </w:p>
    <w:p w:rsidR="009C7585" w:rsidRPr="009C7585" w:rsidRDefault="009C7585" w:rsidP="009C758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7585">
        <w:rPr>
          <w:rFonts w:ascii="Times New Roman" w:hAnsi="Times New Roman"/>
          <w:sz w:val="24"/>
          <w:szCs w:val="24"/>
        </w:rPr>
        <w:t>Unapređenje sistema upravljanja javnim finansijama u segmentu prihoda, koje podrazumijeva objavu i primjenu Registra taksi i naknada, donošenje sveobuhvatnih propisa o naknadama i taksama, unapređenje sistema fiskalizacije, smanjenje poreznog opterećenja rada, preraspodjelu poreznog opterećenja i restrukturiranje starog poreznog duga;</w:t>
      </w:r>
    </w:p>
    <w:p w:rsidR="009C7585" w:rsidRPr="009C7585" w:rsidRDefault="009C7585" w:rsidP="009C758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7585">
        <w:rPr>
          <w:rFonts w:ascii="Times New Roman" w:hAnsi="Times New Roman"/>
          <w:sz w:val="24"/>
          <w:szCs w:val="24"/>
        </w:rPr>
        <w:t>Obrazovanje i vještine kroz unapređenje kompetencija međuuniverzitetske, regionalne i međunarodne saradnje, te</w:t>
      </w:r>
    </w:p>
    <w:p w:rsidR="009C7585" w:rsidRPr="00DD6BFE" w:rsidRDefault="009C7585" w:rsidP="00B648C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1897">
        <w:rPr>
          <w:rFonts w:ascii="Times New Roman" w:hAnsi="Times New Roman"/>
          <w:sz w:val="24"/>
          <w:szCs w:val="24"/>
        </w:rPr>
        <w:t xml:space="preserve">Zapošljavanje i tržište rada, kroz povećanje njegove efikasnosti i kreiranje poticajnog pravnog okruženja za jačanje uloge posredovanja u zapošljavanju, učinkovita politika zapošljavanja i unapređenje funkcionisanja sistema socijalne zaštite u FBiH. </w:t>
      </w:r>
    </w:p>
    <w:p w:rsidR="00DD6BFE" w:rsidRPr="00DD6BFE" w:rsidRDefault="00DD6BFE" w:rsidP="00DD6BFE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F69A7" w:rsidRDefault="00E61798" w:rsidP="009E1897">
      <w:pPr>
        <w:ind w:firstLine="567"/>
        <w:jc w:val="both"/>
      </w:pPr>
      <w:r w:rsidRPr="009C7585">
        <w:rPr>
          <w:rFonts w:ascii="Times New Roman" w:hAnsi="Times New Roman"/>
          <w:sz w:val="24"/>
          <w:szCs w:val="24"/>
        </w:rPr>
        <w:t>Vlada Unsko-sanskog kantona</w:t>
      </w:r>
      <w:r w:rsidR="00F808E2">
        <w:rPr>
          <w:rFonts w:ascii="Times New Roman" w:hAnsi="Times New Roman"/>
          <w:sz w:val="24"/>
          <w:szCs w:val="24"/>
        </w:rPr>
        <w:t xml:space="preserve">, je </w:t>
      </w:r>
      <w:r w:rsidR="00D223B6">
        <w:rPr>
          <w:rFonts w:ascii="Times New Roman" w:hAnsi="Times New Roman"/>
          <w:sz w:val="24"/>
          <w:szCs w:val="24"/>
        </w:rPr>
        <w:t>na s</w:t>
      </w:r>
      <w:r w:rsidR="00F808E2">
        <w:rPr>
          <w:rFonts w:ascii="Times New Roman" w:hAnsi="Times New Roman"/>
          <w:sz w:val="24"/>
          <w:szCs w:val="24"/>
        </w:rPr>
        <w:t>jednici održanoj 21.03.2019. godine usvojila Program rada</w:t>
      </w:r>
      <w:r w:rsidR="009E1897">
        <w:rPr>
          <w:rFonts w:ascii="Times New Roman" w:hAnsi="Times New Roman"/>
          <w:sz w:val="24"/>
          <w:szCs w:val="24"/>
        </w:rPr>
        <w:t xml:space="preserve"> kojim </w:t>
      </w:r>
      <w:r w:rsidRPr="009C7585">
        <w:rPr>
          <w:rFonts w:ascii="Times New Roman" w:hAnsi="Times New Roman"/>
          <w:sz w:val="24"/>
          <w:szCs w:val="24"/>
        </w:rPr>
        <w:t>će u narednom periodu preuzeti aktivniju ulogu po pitanju u</w:t>
      </w:r>
      <w:r w:rsidR="00D223B6">
        <w:rPr>
          <w:rFonts w:ascii="Times New Roman" w:hAnsi="Times New Roman"/>
          <w:sz w:val="24"/>
          <w:szCs w:val="24"/>
        </w:rPr>
        <w:t>č</w:t>
      </w:r>
      <w:r w:rsidRPr="009C7585">
        <w:rPr>
          <w:rFonts w:ascii="Times New Roman" w:hAnsi="Times New Roman"/>
          <w:sz w:val="24"/>
          <w:szCs w:val="24"/>
        </w:rPr>
        <w:t>ešća u procesima vezanim za evropske integracije, prije svega radeći na ja</w:t>
      </w:r>
      <w:r w:rsidR="009E1897">
        <w:rPr>
          <w:rFonts w:ascii="Times New Roman" w:hAnsi="Times New Roman"/>
          <w:sz w:val="24"/>
          <w:szCs w:val="24"/>
        </w:rPr>
        <w:t>č</w:t>
      </w:r>
      <w:r w:rsidRPr="009C7585">
        <w:rPr>
          <w:rFonts w:ascii="Times New Roman" w:hAnsi="Times New Roman"/>
          <w:sz w:val="24"/>
          <w:szCs w:val="24"/>
        </w:rPr>
        <w:t>anju institucionalnih i ljudskih kapaciteta. Cilj navedenog je omogućiti adekvatan odgovor na sve izazove koje donosi proces pristupanja BiH Europskoj uniji, a posebno se to odnosi na uspješno u</w:t>
      </w:r>
      <w:r w:rsidR="00D223B6">
        <w:rPr>
          <w:rFonts w:ascii="Times New Roman" w:hAnsi="Times New Roman"/>
          <w:sz w:val="24"/>
          <w:szCs w:val="24"/>
        </w:rPr>
        <w:t>č</w:t>
      </w:r>
      <w:r w:rsidRPr="009C7585">
        <w:rPr>
          <w:rFonts w:ascii="Times New Roman" w:hAnsi="Times New Roman"/>
          <w:sz w:val="24"/>
          <w:szCs w:val="24"/>
        </w:rPr>
        <w:t>ešće u korištenju IPA II sredstava. S obzirom da se pored izrade i revizije sektorsko - planskih dokumenata (SPD-ova) i akcionih dokumenata – projektnih prijedloga (AD-ova), o</w:t>
      </w:r>
      <w:r w:rsidR="00D223B6">
        <w:rPr>
          <w:rFonts w:ascii="Times New Roman" w:hAnsi="Times New Roman"/>
          <w:sz w:val="24"/>
          <w:szCs w:val="24"/>
        </w:rPr>
        <w:t>č</w:t>
      </w:r>
      <w:r w:rsidRPr="009C7585">
        <w:rPr>
          <w:rFonts w:ascii="Times New Roman" w:hAnsi="Times New Roman"/>
          <w:sz w:val="24"/>
          <w:szCs w:val="24"/>
        </w:rPr>
        <w:t>ekuje aktivno u</w:t>
      </w:r>
      <w:r w:rsidR="00D223B6">
        <w:rPr>
          <w:rFonts w:ascii="Times New Roman" w:hAnsi="Times New Roman"/>
          <w:sz w:val="24"/>
          <w:szCs w:val="24"/>
        </w:rPr>
        <w:t>č</w:t>
      </w:r>
      <w:r w:rsidRPr="009C7585">
        <w:rPr>
          <w:rFonts w:ascii="Times New Roman" w:hAnsi="Times New Roman"/>
          <w:sz w:val="24"/>
          <w:szCs w:val="24"/>
        </w:rPr>
        <w:t>ešće po pitanju harmonizacije propisa sa propisima EU, u</w:t>
      </w:r>
      <w:r w:rsidR="00D223B6">
        <w:rPr>
          <w:rFonts w:ascii="Times New Roman" w:hAnsi="Times New Roman"/>
          <w:sz w:val="24"/>
          <w:szCs w:val="24"/>
        </w:rPr>
        <w:t>č</w:t>
      </w:r>
      <w:r w:rsidRPr="009C7585">
        <w:rPr>
          <w:rFonts w:ascii="Times New Roman" w:hAnsi="Times New Roman"/>
          <w:sz w:val="24"/>
          <w:szCs w:val="24"/>
        </w:rPr>
        <w:t>ešće i implementacije projekata u skladu sa EU metodologijom i izvještavanje o procesu EU integracija potrebno je poja</w:t>
      </w:r>
      <w:r w:rsidR="00D223B6">
        <w:rPr>
          <w:rFonts w:ascii="Times New Roman" w:hAnsi="Times New Roman"/>
          <w:sz w:val="24"/>
          <w:szCs w:val="24"/>
        </w:rPr>
        <w:t>č</w:t>
      </w:r>
      <w:r w:rsidRPr="009C7585">
        <w:rPr>
          <w:rFonts w:ascii="Times New Roman" w:hAnsi="Times New Roman"/>
          <w:sz w:val="24"/>
          <w:szCs w:val="24"/>
        </w:rPr>
        <w:t>ati intenzitet obuka državnih službenika vezano za evropske integracije.</w:t>
      </w:r>
      <w:r w:rsidR="009F69A7" w:rsidRPr="009F69A7">
        <w:t xml:space="preserve"> </w:t>
      </w:r>
    </w:p>
    <w:p w:rsidR="00E61798" w:rsidRPr="009F69A7" w:rsidRDefault="009F69A7" w:rsidP="009F69A7">
      <w:pPr>
        <w:jc w:val="both"/>
        <w:rPr>
          <w:rFonts w:ascii="Times New Roman" w:hAnsi="Times New Roman"/>
          <w:sz w:val="24"/>
          <w:szCs w:val="24"/>
        </w:rPr>
      </w:pPr>
      <w:r w:rsidRPr="009F69A7">
        <w:rPr>
          <w:rFonts w:ascii="Times New Roman" w:hAnsi="Times New Roman"/>
          <w:sz w:val="24"/>
          <w:szCs w:val="24"/>
        </w:rPr>
        <w:t>Vlada Unsko-sanskog kantona će u narednom periodu poduzeti sve neophodne radnje za uspješnu primjenu Strategije za borbu protiv korupcije Unsko-sanskog kantona 2017.–2019. sa težištem na osnovnim podru</w:t>
      </w:r>
      <w:r w:rsidR="00D223B6">
        <w:rPr>
          <w:rFonts w:ascii="Times New Roman" w:hAnsi="Times New Roman"/>
          <w:sz w:val="24"/>
          <w:szCs w:val="24"/>
        </w:rPr>
        <w:t>č</w:t>
      </w:r>
      <w:r w:rsidRPr="009F69A7">
        <w:rPr>
          <w:rFonts w:ascii="Times New Roman" w:hAnsi="Times New Roman"/>
          <w:sz w:val="24"/>
          <w:szCs w:val="24"/>
        </w:rPr>
        <w:t>jima</w:t>
      </w:r>
      <w:r w:rsidR="0025619E">
        <w:rPr>
          <w:rFonts w:ascii="Times New Roman" w:hAnsi="Times New Roman"/>
          <w:sz w:val="24"/>
          <w:szCs w:val="24"/>
        </w:rPr>
        <w:t xml:space="preserve"> </w:t>
      </w:r>
      <w:r w:rsidR="00D223B6">
        <w:rPr>
          <w:rFonts w:ascii="Times New Roman" w:hAnsi="Times New Roman"/>
          <w:sz w:val="24"/>
          <w:szCs w:val="24"/>
        </w:rPr>
        <w:t xml:space="preserve">- </w:t>
      </w:r>
      <w:r w:rsidRPr="009F69A7">
        <w:rPr>
          <w:rFonts w:ascii="Times New Roman" w:hAnsi="Times New Roman"/>
          <w:sz w:val="24"/>
          <w:szCs w:val="24"/>
        </w:rPr>
        <w:t>prevenciji, represiji i edukaciji. Preko svojih institucija aktivno razvijati povjerenje i unaprijediti saradnju izme</w:t>
      </w:r>
      <w:r w:rsidR="00D223B6">
        <w:rPr>
          <w:rFonts w:ascii="Times New Roman" w:hAnsi="Times New Roman"/>
          <w:sz w:val="24"/>
          <w:szCs w:val="24"/>
        </w:rPr>
        <w:t>đ</w:t>
      </w:r>
      <w:r w:rsidRPr="009F69A7">
        <w:rPr>
          <w:rFonts w:ascii="Times New Roman" w:hAnsi="Times New Roman"/>
          <w:sz w:val="24"/>
          <w:szCs w:val="24"/>
        </w:rPr>
        <w:t>u svih organa, ustanova, zavoda, poduzeća i službi u Unsko-sanskom kantonu, te sa nevladinim sektorom, medijima i privatnim sektorom, radi povezivanja svih snaga i potencijala zajednice u borbi protiv korupcije.</w:t>
      </w:r>
    </w:p>
    <w:p w:rsidR="004746F9" w:rsidRDefault="004746F9" w:rsidP="004746F9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 skladu sa gore navedenim Vlada Unsko-sanskog kantona je sebi postavila za cilj, te je izradila i usvojila Integriranu strategiju razvoja Unsko-sanskog kantona za perod 2014.-2020. godinu. </w:t>
      </w:r>
      <w:r w:rsidRPr="00DF3823">
        <w:rPr>
          <w:rFonts w:ascii="Times New Roman" w:hAnsi="Times New Roman"/>
          <w:sz w:val="24"/>
          <w:szCs w:val="24"/>
        </w:rPr>
        <w:t xml:space="preserve">Provođenjem strategije razvoja USK u periodu od 2014. do 2020. godine ovaj kanton dostići će prosjek razvoja ostalih kantona F BiH. </w:t>
      </w:r>
    </w:p>
    <w:p w:rsidR="004746F9" w:rsidRPr="00DF3823" w:rsidRDefault="004D5787" w:rsidP="004746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Strategija</w:t>
      </w:r>
      <w:r w:rsidR="004746F9" w:rsidRPr="00DF3823">
        <w:rPr>
          <w:rFonts w:ascii="Times New Roman" w:hAnsi="Times New Roman"/>
          <w:sz w:val="24"/>
          <w:szCs w:val="24"/>
        </w:rPr>
        <w:t xml:space="preserve"> </w:t>
      </w:r>
      <w:r w:rsidRPr="00DF3823">
        <w:rPr>
          <w:rFonts w:ascii="Times New Roman" w:hAnsi="Times New Roman"/>
          <w:sz w:val="24"/>
          <w:szCs w:val="24"/>
        </w:rPr>
        <w:t xml:space="preserve">će se </w:t>
      </w:r>
      <w:r w:rsidR="004746F9" w:rsidRPr="00DF3823">
        <w:rPr>
          <w:rFonts w:ascii="Times New Roman" w:hAnsi="Times New Roman"/>
          <w:sz w:val="24"/>
          <w:szCs w:val="24"/>
        </w:rPr>
        <w:t xml:space="preserve">ostvarit kroz postizanje 6 ključnih razvojnih ciljeva: </w:t>
      </w:r>
    </w:p>
    <w:p w:rsidR="004746F9" w:rsidRPr="00DF3823" w:rsidRDefault="004746F9" w:rsidP="005D5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3823">
        <w:rPr>
          <w:rFonts w:ascii="Times New Roman" w:hAnsi="Times New Roman"/>
          <w:sz w:val="24"/>
          <w:szCs w:val="24"/>
        </w:rPr>
        <w:lastRenderedPageBreak/>
        <w:t>1.  Razviti konkurentnu privredu i dostići nivo prosjeka ekonomskog razvoja F BiH;</w:t>
      </w:r>
    </w:p>
    <w:p w:rsidR="004746F9" w:rsidRPr="00DF3823" w:rsidRDefault="004746F9" w:rsidP="005D5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3823">
        <w:rPr>
          <w:rFonts w:ascii="Times New Roman" w:hAnsi="Times New Roman"/>
          <w:sz w:val="24"/>
          <w:szCs w:val="24"/>
        </w:rPr>
        <w:t>2. Izgraditi infrastrukturu za poboljšanje kvalitete života stanovnika;</w:t>
      </w:r>
    </w:p>
    <w:p w:rsidR="004746F9" w:rsidRPr="00DF3823" w:rsidRDefault="004746F9" w:rsidP="005D5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3823">
        <w:rPr>
          <w:rFonts w:ascii="Times New Roman" w:hAnsi="Times New Roman"/>
          <w:sz w:val="24"/>
          <w:szCs w:val="24"/>
        </w:rPr>
        <w:t>3. Unaprijediti zaštitu okoliša i očuvanje prirode;</w:t>
      </w:r>
    </w:p>
    <w:p w:rsidR="004746F9" w:rsidRPr="00DF3823" w:rsidRDefault="004746F9" w:rsidP="005D5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3823">
        <w:rPr>
          <w:rFonts w:ascii="Times New Roman" w:hAnsi="Times New Roman"/>
          <w:sz w:val="24"/>
          <w:szCs w:val="24"/>
        </w:rPr>
        <w:t>4. Razvijati ljudske resurse i unaprijediti tržište rada;</w:t>
      </w:r>
    </w:p>
    <w:p w:rsidR="004746F9" w:rsidRPr="00DF3823" w:rsidRDefault="004746F9" w:rsidP="005D5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3823">
        <w:rPr>
          <w:rFonts w:ascii="Times New Roman" w:hAnsi="Times New Roman"/>
          <w:sz w:val="24"/>
          <w:szCs w:val="24"/>
        </w:rPr>
        <w:t>5. Osigurati visok nivo socijalne sigurnosti i zaštite;</w:t>
      </w:r>
    </w:p>
    <w:p w:rsidR="004746F9" w:rsidRPr="00DF3823" w:rsidRDefault="004746F9" w:rsidP="005D5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3823">
        <w:rPr>
          <w:rFonts w:ascii="Times New Roman" w:hAnsi="Times New Roman"/>
          <w:sz w:val="24"/>
          <w:szCs w:val="24"/>
        </w:rPr>
        <w:t>6. Unaprjeđenje upravljanja razvojem.</w:t>
      </w:r>
    </w:p>
    <w:p w:rsidR="00DD6BFE" w:rsidRPr="00DF3823" w:rsidRDefault="004746F9" w:rsidP="004746F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F3823">
        <w:rPr>
          <w:rFonts w:ascii="Times New Roman" w:hAnsi="Times New Roman"/>
          <w:sz w:val="24"/>
          <w:szCs w:val="24"/>
        </w:rPr>
        <w:t>Za ostvarenje definirane vizije ključnim se pokazalo</w:t>
      </w:r>
      <w:r>
        <w:rPr>
          <w:rFonts w:ascii="Times New Roman" w:hAnsi="Times New Roman"/>
          <w:sz w:val="24"/>
          <w:szCs w:val="24"/>
        </w:rPr>
        <w:t>,</w:t>
      </w:r>
      <w:r w:rsidRPr="00DF3823">
        <w:rPr>
          <w:rFonts w:ascii="Times New Roman" w:hAnsi="Times New Roman"/>
          <w:sz w:val="24"/>
          <w:szCs w:val="24"/>
        </w:rPr>
        <w:t xml:space="preserve"> potaknuti i podržati kvalitetnu edukaciju stanovništva kantona na svim nivoima za što postoji i volja i mogućnosti.</w:t>
      </w:r>
    </w:p>
    <w:p w:rsidR="004746F9" w:rsidRPr="00F475EB" w:rsidRDefault="004746F9" w:rsidP="004746F9">
      <w:pPr>
        <w:jc w:val="both"/>
        <w:rPr>
          <w:rStyle w:val="Heading1Char1"/>
          <w:rFonts w:ascii="Times New Roman" w:eastAsia="Calibri" w:hAnsi="Times New Roman"/>
          <w:sz w:val="28"/>
        </w:rPr>
      </w:pPr>
      <w:r w:rsidRPr="00F475EB">
        <w:rPr>
          <w:rFonts w:ascii="Times New Roman" w:hAnsi="Times New Roman"/>
          <w:b/>
          <w:sz w:val="28"/>
          <w:szCs w:val="32"/>
        </w:rPr>
        <w:t>2</w:t>
      </w:r>
      <w:r w:rsidRPr="00F475EB">
        <w:rPr>
          <w:rStyle w:val="Heading1Char1"/>
          <w:rFonts w:ascii="Times New Roman" w:eastAsia="Calibri" w:hAnsi="Times New Roman"/>
          <w:sz w:val="28"/>
        </w:rPr>
        <w:t xml:space="preserve">.  OSNOVNI MAKROEKONOMSKI POKAZATELJI </w:t>
      </w:r>
      <w:r w:rsidR="00393FEB" w:rsidRPr="00F475EB">
        <w:rPr>
          <w:rStyle w:val="Heading1Char1"/>
          <w:rFonts w:ascii="Times New Roman" w:eastAsia="Calibri" w:hAnsi="Times New Roman"/>
          <w:sz w:val="28"/>
        </w:rPr>
        <w:t xml:space="preserve"> </w:t>
      </w:r>
    </w:p>
    <w:p w:rsidR="00DD6BFE" w:rsidRDefault="004746F9" w:rsidP="005D567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DF3823">
        <w:rPr>
          <w:rFonts w:ascii="Times New Roman" w:hAnsi="Times New Roman"/>
          <w:sz w:val="24"/>
          <w:szCs w:val="24"/>
        </w:rPr>
        <w:t>Jedan od osnovnih predu</w:t>
      </w:r>
      <w:r>
        <w:rPr>
          <w:rFonts w:ascii="Times New Roman" w:hAnsi="Times New Roman"/>
          <w:sz w:val="24"/>
          <w:szCs w:val="24"/>
        </w:rPr>
        <w:t>slova</w:t>
      </w:r>
      <w:r w:rsidRPr="00DF3823">
        <w:rPr>
          <w:rFonts w:ascii="Times New Roman" w:hAnsi="Times New Roman"/>
          <w:sz w:val="24"/>
          <w:szCs w:val="24"/>
        </w:rPr>
        <w:t xml:space="preserve"> održivog ekonomskog rasta te povećanja zaposlenosti jest</w:t>
      </w:r>
      <w:r>
        <w:rPr>
          <w:rFonts w:ascii="Times New Roman" w:hAnsi="Times New Roman"/>
          <w:sz w:val="24"/>
          <w:szCs w:val="24"/>
        </w:rPr>
        <w:t xml:space="preserve">e </w:t>
      </w:r>
      <w:r w:rsidRPr="00DF3823">
        <w:rPr>
          <w:rFonts w:ascii="Times New Roman" w:hAnsi="Times New Roman"/>
          <w:sz w:val="24"/>
          <w:szCs w:val="24"/>
        </w:rPr>
        <w:t xml:space="preserve">makroekonomska stabilnost. Makroekonomska stabilnost ostvarit će se </w:t>
      </w:r>
      <w:r>
        <w:rPr>
          <w:rFonts w:ascii="Times New Roman" w:hAnsi="Times New Roman"/>
          <w:sz w:val="24"/>
          <w:szCs w:val="24"/>
        </w:rPr>
        <w:t>efikasnim</w:t>
      </w:r>
      <w:r w:rsidRPr="00DF3823">
        <w:rPr>
          <w:rFonts w:ascii="Times New Roman" w:hAnsi="Times New Roman"/>
          <w:sz w:val="24"/>
          <w:szCs w:val="24"/>
        </w:rPr>
        <w:t xml:space="preserve"> upravljanjem javnim financijama kroz daljnje unapređenje procesa upravljanja državnim budžetom, fiskalnu konsolidaciju i </w:t>
      </w:r>
      <w:r>
        <w:rPr>
          <w:rFonts w:ascii="Times New Roman" w:hAnsi="Times New Roman"/>
          <w:sz w:val="24"/>
          <w:szCs w:val="24"/>
        </w:rPr>
        <w:t xml:space="preserve">efikasno </w:t>
      </w:r>
      <w:r w:rsidRPr="00DF3823">
        <w:rPr>
          <w:rFonts w:ascii="Times New Roman" w:hAnsi="Times New Roman"/>
          <w:sz w:val="24"/>
          <w:szCs w:val="24"/>
        </w:rPr>
        <w:t>upravljanje javnim dugom, jačanje sistema unutrašnjih finan</w:t>
      </w:r>
      <w:r>
        <w:rPr>
          <w:rFonts w:ascii="Times New Roman" w:hAnsi="Times New Roman"/>
          <w:sz w:val="24"/>
          <w:szCs w:val="24"/>
        </w:rPr>
        <w:t>s</w:t>
      </w:r>
      <w:r w:rsidRPr="00DF3823">
        <w:rPr>
          <w:rFonts w:ascii="Times New Roman" w:hAnsi="Times New Roman"/>
          <w:sz w:val="24"/>
          <w:szCs w:val="24"/>
        </w:rPr>
        <w:t xml:space="preserve">ijskih kontrola i unutašnje revizije te razvojem makroekonomske statistike. </w:t>
      </w:r>
      <w:r w:rsidRPr="00DF3823">
        <w:rPr>
          <w:rFonts w:ascii="Times New Roman" w:hAnsi="Times New Roman"/>
          <w:sz w:val="24"/>
          <w:szCs w:val="24"/>
          <w:lang w:val="hr-HR"/>
        </w:rPr>
        <w:t>Ovakva nastojanja Ministarstva finansija moraju imati potporu svih budžetskih korisnika i drugih koji koriste sredstva budžeta USK</w:t>
      </w:r>
      <w:r>
        <w:rPr>
          <w:rFonts w:ascii="Times New Roman" w:hAnsi="Times New Roman"/>
          <w:sz w:val="24"/>
          <w:szCs w:val="24"/>
          <w:lang w:val="hr-HR"/>
        </w:rPr>
        <w:t>, a</w:t>
      </w:r>
      <w:r w:rsidRPr="00DF3823">
        <w:rPr>
          <w:rFonts w:ascii="Times New Roman" w:hAnsi="Times New Roman"/>
          <w:sz w:val="24"/>
          <w:szCs w:val="24"/>
          <w:lang w:val="hr-HR"/>
        </w:rPr>
        <w:t xml:space="preserve"> iskazana kroz Smjerice i ciljeve fiskalne politike za 20</w:t>
      </w:r>
      <w:r w:rsidR="002D38AA">
        <w:rPr>
          <w:rFonts w:ascii="Times New Roman" w:hAnsi="Times New Roman"/>
          <w:sz w:val="24"/>
          <w:szCs w:val="24"/>
          <w:lang w:val="hr-HR"/>
        </w:rPr>
        <w:t>20</w:t>
      </w:r>
      <w:r w:rsidRPr="00DF3823">
        <w:rPr>
          <w:rFonts w:ascii="Times New Roman" w:hAnsi="Times New Roman"/>
          <w:sz w:val="24"/>
          <w:szCs w:val="24"/>
          <w:lang w:val="hr-HR"/>
        </w:rPr>
        <w:t>.-20</w:t>
      </w:r>
      <w:r w:rsidR="00ED5428">
        <w:rPr>
          <w:rFonts w:ascii="Times New Roman" w:hAnsi="Times New Roman"/>
          <w:sz w:val="24"/>
          <w:szCs w:val="24"/>
          <w:lang w:val="hr-HR"/>
        </w:rPr>
        <w:t>2</w:t>
      </w:r>
      <w:r w:rsidR="002D38AA">
        <w:rPr>
          <w:rFonts w:ascii="Times New Roman" w:hAnsi="Times New Roman"/>
          <w:sz w:val="24"/>
          <w:szCs w:val="24"/>
          <w:lang w:val="hr-HR"/>
        </w:rPr>
        <w:t>2</w:t>
      </w:r>
      <w:r w:rsidR="00ED5428">
        <w:rPr>
          <w:rFonts w:ascii="Times New Roman" w:hAnsi="Times New Roman"/>
          <w:sz w:val="24"/>
          <w:szCs w:val="24"/>
          <w:lang w:val="hr-HR"/>
        </w:rPr>
        <w:t>.</w:t>
      </w:r>
      <w:r w:rsidRPr="00DF3823">
        <w:rPr>
          <w:rFonts w:ascii="Times New Roman" w:hAnsi="Times New Roman"/>
          <w:sz w:val="24"/>
          <w:szCs w:val="24"/>
          <w:lang w:val="hr-HR"/>
        </w:rPr>
        <w:t xml:space="preserve"> godinu i Dokument okvirnog Budžeta USK za period 20</w:t>
      </w:r>
      <w:r w:rsidR="002D38AA">
        <w:rPr>
          <w:rFonts w:ascii="Times New Roman" w:hAnsi="Times New Roman"/>
          <w:sz w:val="24"/>
          <w:szCs w:val="24"/>
          <w:lang w:val="hr-HR"/>
        </w:rPr>
        <w:t>20</w:t>
      </w:r>
      <w:r w:rsidRPr="00DF3823">
        <w:rPr>
          <w:rFonts w:ascii="Times New Roman" w:hAnsi="Times New Roman"/>
          <w:sz w:val="24"/>
          <w:szCs w:val="24"/>
          <w:lang w:val="hr-HR"/>
        </w:rPr>
        <w:t>-20</w:t>
      </w:r>
      <w:r w:rsidR="00ED5428">
        <w:rPr>
          <w:rFonts w:ascii="Times New Roman" w:hAnsi="Times New Roman"/>
          <w:sz w:val="24"/>
          <w:szCs w:val="24"/>
          <w:lang w:val="hr-HR"/>
        </w:rPr>
        <w:t>2</w:t>
      </w:r>
      <w:r w:rsidR="002D38AA">
        <w:rPr>
          <w:rFonts w:ascii="Times New Roman" w:hAnsi="Times New Roman"/>
          <w:sz w:val="24"/>
          <w:szCs w:val="24"/>
          <w:lang w:val="hr-HR"/>
        </w:rPr>
        <w:t>2</w:t>
      </w:r>
      <w:r w:rsidRPr="00DF3823">
        <w:rPr>
          <w:rFonts w:ascii="Times New Roman" w:hAnsi="Times New Roman"/>
          <w:sz w:val="24"/>
          <w:szCs w:val="24"/>
          <w:lang w:val="hr-HR"/>
        </w:rPr>
        <w:t xml:space="preserve"> godina.</w:t>
      </w:r>
    </w:p>
    <w:p w:rsidR="005D567D" w:rsidRPr="00F475EB" w:rsidRDefault="004746F9" w:rsidP="005E080D">
      <w:pPr>
        <w:pStyle w:val="Heading2"/>
        <w:rPr>
          <w:sz w:val="24"/>
        </w:rPr>
      </w:pPr>
      <w:bookmarkStart w:id="4" w:name="_Toc9858431"/>
      <w:r w:rsidRPr="00F475EB">
        <w:rPr>
          <w:sz w:val="24"/>
        </w:rPr>
        <w:t>2.1.Ekonomski rast</w:t>
      </w:r>
      <w:bookmarkEnd w:id="4"/>
    </w:p>
    <w:p w:rsidR="00EC3BB8" w:rsidRPr="00EC3BB8" w:rsidRDefault="00DD6BFE" w:rsidP="00EC3B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6BFE">
        <w:rPr>
          <w:rFonts w:ascii="Times New Roman" w:hAnsi="Times New Roman"/>
          <w:sz w:val="24"/>
          <w:szCs w:val="24"/>
        </w:rPr>
        <w:t>U periodu 2019-2021. godina pod pretpostavkom nastavka stabilnog eksternog okruženja u ovom srednjoročnom vrem</w:t>
      </w:r>
      <w:r w:rsidR="00393FEB">
        <w:rPr>
          <w:rFonts w:ascii="Times New Roman" w:hAnsi="Times New Roman"/>
          <w:sz w:val="24"/>
          <w:szCs w:val="24"/>
        </w:rPr>
        <w:t>en</w:t>
      </w:r>
      <w:r w:rsidRPr="00DD6BFE">
        <w:rPr>
          <w:rFonts w:ascii="Times New Roman" w:hAnsi="Times New Roman"/>
          <w:sz w:val="24"/>
          <w:szCs w:val="24"/>
        </w:rPr>
        <w:t>skom okviru u Bosni i Heregovini se očekuje nastavak ekonomskog rasta po prosječnim stopama rasta od 3,6% na godišnjem nivou. Tokom ovog perioda očekuje se da domaća tražnja kroz privatnu potrošnju i investicije bude glavni oslonac ekonomskog rasta. S druge strane, tokom posmatranog perioda očekuje se stagnacija javne potrošnje što će</w:t>
      </w:r>
      <w:r w:rsidR="00393FEB">
        <w:rPr>
          <w:rFonts w:ascii="Times New Roman" w:hAnsi="Times New Roman"/>
          <w:sz w:val="24"/>
          <w:szCs w:val="24"/>
        </w:rPr>
        <w:t xml:space="preserve"> </w:t>
      </w:r>
      <w:r w:rsidRPr="00DD6BFE">
        <w:rPr>
          <w:rFonts w:ascii="Times New Roman" w:hAnsi="Times New Roman"/>
          <w:sz w:val="24"/>
          <w:szCs w:val="24"/>
        </w:rPr>
        <w:t>rezultirati smanjenjem njenog učešća u strukturi BDP-a odnosno njenog doprinosa u ekonomskom rastu Bosne i Hercegovine. Također, reformske mjere koje su usmjerene ka poboljšanju poslovnog ambijenta u zemlji trebale bi rezultirati većim investicionim ulaganjima (domaćim i inostranim) što bi ojačalo privatni sektor, zaposlenost i u konačnici bh. vanjskotrgovinsku robnu razmjenu sa svijetom.</w:t>
      </w:r>
      <w:r w:rsidR="00EC3BB8" w:rsidRPr="00EC3BB8">
        <w:rPr>
          <w:rFonts w:ascii="Arial" w:hAnsi="Arial" w:cs="Arial"/>
          <w:sz w:val="24"/>
          <w:szCs w:val="24"/>
        </w:rPr>
        <w:t xml:space="preserve"> </w:t>
      </w:r>
      <w:r w:rsidR="00EC3BB8" w:rsidRPr="00EC3BB8">
        <w:rPr>
          <w:rFonts w:ascii="Times New Roman" w:hAnsi="Times New Roman"/>
          <w:sz w:val="24"/>
          <w:szCs w:val="24"/>
        </w:rPr>
        <w:t xml:space="preserve">U periodu od 2019-2022. godine u Federaciji BiH se očekuje rast BDP-a po stopama od </w:t>
      </w:r>
      <w:r w:rsidR="00393FEB">
        <w:rPr>
          <w:rFonts w:ascii="Times New Roman" w:hAnsi="Times New Roman"/>
          <w:sz w:val="24"/>
          <w:szCs w:val="24"/>
        </w:rPr>
        <w:t xml:space="preserve">3,1%, </w:t>
      </w:r>
      <w:r w:rsidR="00EC3BB8" w:rsidRPr="00EC3BB8">
        <w:rPr>
          <w:rFonts w:ascii="Times New Roman" w:hAnsi="Times New Roman"/>
          <w:sz w:val="24"/>
          <w:szCs w:val="24"/>
        </w:rPr>
        <w:t>3,7%, 3,8%,</w:t>
      </w:r>
      <w:r w:rsidR="00393FEB">
        <w:rPr>
          <w:rFonts w:ascii="Times New Roman" w:hAnsi="Times New Roman"/>
          <w:sz w:val="24"/>
          <w:szCs w:val="24"/>
        </w:rPr>
        <w:t xml:space="preserve"> i </w:t>
      </w:r>
      <w:r w:rsidR="00EC3BB8" w:rsidRPr="00EC3BB8">
        <w:rPr>
          <w:rFonts w:ascii="Times New Roman" w:hAnsi="Times New Roman"/>
          <w:sz w:val="24"/>
          <w:szCs w:val="24"/>
        </w:rPr>
        <w:t>4,0%  respektivno. Uprkos projiciranom usporenom rastu u Evropskoj uniji (projicirani rast za EU28 je revidiran sa 1,9% na 1,5%</w:t>
      </w:r>
      <w:r w:rsidR="00EC3BB8" w:rsidRPr="00EC3BB8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EC3BB8" w:rsidRPr="00EC3BB8">
        <w:rPr>
          <w:rFonts w:ascii="Times New Roman" w:hAnsi="Times New Roman"/>
          <w:sz w:val="24"/>
          <w:szCs w:val="24"/>
        </w:rPr>
        <w:t>), u Federaciji BiH se u 2019. godini očekuje nastavak ekonomskog rasta, po nešto sporijoj stopi u odnosu na prethodni period, u iznosu od 3,</w:t>
      </w:r>
      <w:r w:rsidR="005E080D">
        <w:rPr>
          <w:rFonts w:ascii="Times New Roman" w:hAnsi="Times New Roman"/>
          <w:sz w:val="24"/>
          <w:szCs w:val="24"/>
        </w:rPr>
        <w:t>1</w:t>
      </w:r>
      <w:r w:rsidR="00EC3BB8" w:rsidRPr="00EC3BB8">
        <w:rPr>
          <w:rFonts w:ascii="Times New Roman" w:hAnsi="Times New Roman"/>
          <w:sz w:val="24"/>
          <w:szCs w:val="24"/>
        </w:rPr>
        <w:t>%. Očekivani rast će najznačajnije uporište imati u očekivanom porastu privatne i javne potrošnje, usljed višegodišnje provedbe politike fiskalne konsolidacije, te porastu ukupnih (privatnih i javnih) investicija.Očekuje se da će glavni oslonac projiciranog rasta u srednjoročnom periodu biti domaća tražnja. Povećanje ukupne ekonomske aktivnosti, uz očekivano povećanje insdustrijske proizvodnje, građevinarstva, a s</w:t>
      </w:r>
      <w:r w:rsidR="00B03F88">
        <w:rPr>
          <w:rFonts w:ascii="Times New Roman" w:hAnsi="Times New Roman"/>
          <w:sz w:val="24"/>
          <w:szCs w:val="24"/>
        </w:rPr>
        <w:t xml:space="preserve"> </w:t>
      </w:r>
      <w:r w:rsidR="00EC3BB8" w:rsidRPr="00EC3BB8">
        <w:rPr>
          <w:rFonts w:ascii="Times New Roman" w:hAnsi="Times New Roman"/>
          <w:sz w:val="24"/>
          <w:szCs w:val="24"/>
        </w:rPr>
        <w:t>tim u vezi i broja zaposlenih i prihoda od izvoza, trebalo bi rezultirati povećanjem raspoloživog dohotka građana, te u konačnici i povećanjem privatne potrošnje. Na nivou zemlje, prosječni rast  privatne potrošnje u periodu od 2020- 2022. godine očekuje se  po stopama od 1,8%, 2,0% i 2,1%</w:t>
      </w:r>
      <w:r w:rsidR="00EC3BB8" w:rsidRPr="00EC3BB8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EC3BB8" w:rsidRPr="00EC3BB8">
        <w:rPr>
          <w:rFonts w:ascii="Times New Roman" w:hAnsi="Times New Roman"/>
          <w:sz w:val="24"/>
          <w:szCs w:val="24"/>
        </w:rPr>
        <w:t xml:space="preserve">, respektivno. </w:t>
      </w:r>
    </w:p>
    <w:p w:rsidR="003D56E2" w:rsidRDefault="00EC3BB8" w:rsidP="00B640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BB8">
        <w:rPr>
          <w:rFonts w:ascii="Times New Roman" w:hAnsi="Times New Roman"/>
          <w:sz w:val="24"/>
          <w:szCs w:val="24"/>
        </w:rPr>
        <w:lastRenderedPageBreak/>
        <w:t>Uz navedeno, nastavak provedbe politike fiskalne konsolidacije će imati za cilj smanjenje javne potrošnje u odnosu na BDP, kroz ograničavanje rasta tekuće potrošnje i tekućih transfera, uvažavajući zakonski predviđen rast istih, te bi se eventualno ostvarene uštede, odnosno fiskalni prostor usmjerio na kapitalne investicije, čijim bi se rastom u konačnici ostvario i veći sveukupni ekonomski rast. Dakle, u narednom srednjoročnom periodu se u Federaciji BiH očekuje značajniji doprinos javnih investicija rastu BDP-a, prvenstveno kroz planiranu izgradnju putne i energetske infrastrukture.</w:t>
      </w:r>
    </w:p>
    <w:p w:rsidR="00B64056" w:rsidRPr="005D567D" w:rsidRDefault="00B64056" w:rsidP="00B640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56E2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Makroekonomski pokazatelji za period 2017-2022</w:t>
      </w:r>
    </w:p>
    <w:tbl>
      <w:tblPr>
        <w:tblpPr w:leftFromText="180" w:rightFromText="180" w:vertAnchor="text" w:horzAnchor="margin" w:tblpXSpec="center" w:tblpY="117"/>
        <w:tblW w:w="8655" w:type="dxa"/>
        <w:tblLook w:val="04A0" w:firstRow="1" w:lastRow="0" w:firstColumn="1" w:lastColumn="0" w:noHBand="0" w:noVBand="1"/>
      </w:tblPr>
      <w:tblGrid>
        <w:gridCol w:w="2877"/>
        <w:gridCol w:w="1166"/>
        <w:gridCol w:w="1137"/>
        <w:gridCol w:w="884"/>
        <w:gridCol w:w="885"/>
        <w:gridCol w:w="884"/>
        <w:gridCol w:w="822"/>
      </w:tblGrid>
      <w:tr w:rsidR="003D56E2" w:rsidRPr="003D56E2" w:rsidTr="00B64056">
        <w:trPr>
          <w:trHeight w:val="450"/>
        </w:trPr>
        <w:tc>
          <w:tcPr>
            <w:tcW w:w="2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</w:t>
            </w: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ndikator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2CC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Zvanični podaci</w:t>
            </w:r>
          </w:p>
        </w:tc>
        <w:tc>
          <w:tcPr>
            <w:tcW w:w="46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Projekcije</w:t>
            </w:r>
          </w:p>
        </w:tc>
      </w:tr>
      <w:tr w:rsidR="00624012" w:rsidRPr="003D56E2" w:rsidTr="00B64056">
        <w:trPr>
          <w:trHeight w:val="450"/>
        </w:trPr>
        <w:tc>
          <w:tcPr>
            <w:tcW w:w="2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3D56E2" w:rsidRPr="003D56E2" w:rsidTr="00B64056">
        <w:trPr>
          <w:trHeight w:val="234"/>
        </w:trPr>
        <w:tc>
          <w:tcPr>
            <w:tcW w:w="2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2022</w:t>
            </w:r>
          </w:p>
        </w:tc>
      </w:tr>
      <w:tr w:rsidR="003D56E2" w:rsidRPr="003D56E2" w:rsidTr="00B64056">
        <w:trPr>
          <w:trHeight w:val="252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Nominalni BDP u mil. KM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32.510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34.034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35.507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37.107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39.036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41.098</w:t>
            </w:r>
          </w:p>
        </w:tc>
      </w:tr>
      <w:tr w:rsidR="003D56E2" w:rsidRPr="003D56E2" w:rsidTr="00B64056">
        <w:trPr>
          <w:trHeight w:val="270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Nominalni rast u 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5,2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5,3</w:t>
            </w:r>
          </w:p>
        </w:tc>
      </w:tr>
      <w:tr w:rsidR="003D56E2" w:rsidRPr="003D56E2" w:rsidTr="00B64056">
        <w:trPr>
          <w:trHeight w:val="260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BDP deflator (prethodna godina = 100)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101,3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101,4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101,2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100,8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101,3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101,3</w:t>
            </w:r>
          </w:p>
        </w:tc>
      </w:tr>
      <w:tr w:rsidR="003D56E2" w:rsidRPr="003D56E2" w:rsidTr="00B64056">
        <w:trPr>
          <w:trHeight w:val="389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Realni BDP u mil. KM (prethodna godina = 100)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32.092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33.578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35.090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36.804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38.535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40.581</w:t>
            </w:r>
          </w:p>
        </w:tc>
      </w:tr>
      <w:tr w:rsidR="003D56E2" w:rsidRPr="003D56E2" w:rsidTr="00B64056">
        <w:trPr>
          <w:trHeight w:val="270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Realni rast u %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4,0</w:t>
            </w:r>
          </w:p>
        </w:tc>
      </w:tr>
      <w:tr w:rsidR="003D56E2" w:rsidRPr="003D56E2" w:rsidTr="00B64056">
        <w:trPr>
          <w:trHeight w:val="389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Inflacija mjerena indeksom potrošačkih cijena u 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1,7</w:t>
            </w:r>
          </w:p>
        </w:tc>
      </w:tr>
      <w:tr w:rsidR="003D56E2" w:rsidRPr="003D56E2" w:rsidTr="00B64056">
        <w:trPr>
          <w:trHeight w:val="280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Potrošnja u mil. KM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31.036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31.921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32.809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33.782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34.827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36.076</w:t>
            </w:r>
          </w:p>
        </w:tc>
      </w:tr>
      <w:tr w:rsidR="003D56E2" w:rsidRPr="003D56E2" w:rsidTr="00B64056">
        <w:trPr>
          <w:trHeight w:val="270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Realni rast u %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1,8</w:t>
            </w:r>
          </w:p>
        </w:tc>
      </w:tr>
      <w:tr w:rsidR="003D56E2" w:rsidRPr="003D56E2" w:rsidTr="00B64056">
        <w:trPr>
          <w:trHeight w:val="274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Vladina potrošnja u mil. KM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6.369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6.497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6.614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6.753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6.874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7.080</w:t>
            </w:r>
          </w:p>
        </w:tc>
      </w:tr>
      <w:tr w:rsidR="003D56E2" w:rsidRPr="003D56E2" w:rsidTr="00B64056">
        <w:trPr>
          <w:trHeight w:val="252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Realni rast u %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0,8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0,3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0,6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0,3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0,5</w:t>
            </w:r>
          </w:p>
        </w:tc>
      </w:tr>
      <w:tr w:rsidR="003D56E2" w:rsidRPr="003D56E2" w:rsidTr="00B64056">
        <w:trPr>
          <w:trHeight w:val="268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Privatna potrošnja u mil. KM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24.667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25.425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26.195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27.030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27.953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28.996</w:t>
            </w:r>
          </w:p>
        </w:tc>
      </w:tr>
      <w:tr w:rsidR="003D56E2" w:rsidRPr="003D56E2" w:rsidTr="00B64056">
        <w:trPr>
          <w:trHeight w:val="261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Realni rast u %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2,1</w:t>
            </w:r>
          </w:p>
        </w:tc>
      </w:tr>
      <w:tr w:rsidR="003D56E2" w:rsidRPr="003D56E2" w:rsidTr="00B64056">
        <w:trPr>
          <w:trHeight w:val="389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Investicije (bruto) u stalna sredstva u mil. KM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5.653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6.251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6.715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7.378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8.108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8.952</w:t>
            </w:r>
          </w:p>
        </w:tc>
      </w:tr>
      <w:tr w:rsidR="003D56E2" w:rsidRPr="003D56E2" w:rsidTr="00B64056">
        <w:trPr>
          <w:trHeight w:val="139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Realni rast u %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10,3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9,3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9,7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8,8</w:t>
            </w:r>
          </w:p>
        </w:tc>
      </w:tr>
      <w:tr w:rsidR="003D56E2" w:rsidRPr="003D56E2" w:rsidTr="00B64056">
        <w:trPr>
          <w:trHeight w:val="199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Vladine investicije u mil. KM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932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1.035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1.283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1.501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1.711</w:t>
            </w:r>
          </w:p>
        </w:tc>
      </w:tr>
      <w:tr w:rsidR="003D56E2" w:rsidRPr="003D56E2" w:rsidTr="00B64056">
        <w:trPr>
          <w:trHeight w:val="274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Realni rast u %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9,4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22,2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15,3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11,2</w:t>
            </w:r>
          </w:p>
        </w:tc>
      </w:tr>
      <w:tr w:rsidR="003D56E2" w:rsidRPr="003D56E2" w:rsidTr="00B64056">
        <w:trPr>
          <w:trHeight w:val="249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Privatne investicije u mil. KM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4.924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5.318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5.680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6.095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6.607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7.241</w:t>
            </w:r>
          </w:p>
        </w:tc>
      </w:tr>
      <w:tr w:rsidR="003D56E2" w:rsidRPr="003D56E2" w:rsidTr="00B64056">
        <w:trPr>
          <w:trHeight w:val="268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Realni rast u %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8,5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8,3</w:t>
            </w:r>
          </w:p>
        </w:tc>
      </w:tr>
      <w:tr w:rsidR="003D56E2" w:rsidRPr="003D56E2" w:rsidTr="00B64056">
        <w:trPr>
          <w:trHeight w:val="129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Uvoz  u mil. KM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17.701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19.091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20.036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21.491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23.055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24.931</w:t>
            </w:r>
          </w:p>
        </w:tc>
      </w:tr>
      <w:tr w:rsidR="003D56E2" w:rsidRPr="003D56E2" w:rsidTr="00B64056">
        <w:trPr>
          <w:trHeight w:val="204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Nominalni rast u 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8,1</w:t>
            </w:r>
          </w:p>
        </w:tc>
      </w:tr>
      <w:tr w:rsidR="003D56E2" w:rsidRPr="003D56E2" w:rsidTr="00B64056">
        <w:trPr>
          <w:trHeight w:val="249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Realni rast u %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5,1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4,6</w:t>
            </w:r>
          </w:p>
        </w:tc>
      </w:tr>
      <w:tr w:rsidR="003D56E2" w:rsidRPr="003D56E2" w:rsidTr="00B64056">
        <w:trPr>
          <w:trHeight w:val="126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Izvoz u mil. KM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12.575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13.976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14.955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16.362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17.941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19.712</w:t>
            </w:r>
          </w:p>
        </w:tc>
      </w:tr>
      <w:tr w:rsidR="003D56E2" w:rsidRPr="003D56E2" w:rsidTr="00B64056">
        <w:trPr>
          <w:trHeight w:val="199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Nominalni rast u 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9,4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9,6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9,9</w:t>
            </w:r>
          </w:p>
        </w:tc>
      </w:tr>
      <w:tr w:rsidR="003D56E2" w:rsidRPr="003D56E2" w:rsidTr="00B64056">
        <w:trPr>
          <w:trHeight w:val="117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Realni rast u %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8,9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4,9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6,6</w:t>
            </w:r>
          </w:p>
        </w:tc>
      </w:tr>
      <w:tr w:rsidR="003D56E2" w:rsidRPr="003D56E2" w:rsidTr="00B64056">
        <w:trPr>
          <w:trHeight w:val="389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Nacionalna bruto štednja u % BDP-a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16,9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17,8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18,7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20,9</w:t>
            </w:r>
          </w:p>
        </w:tc>
      </w:tr>
      <w:tr w:rsidR="003D56E2" w:rsidRPr="003D56E2" w:rsidTr="00B64056">
        <w:trPr>
          <w:trHeight w:val="264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Bilans tekućeg računa u mil. KM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-1.473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-1.488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-1.451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-1.498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-1.512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-1.657</w:t>
            </w:r>
          </w:p>
        </w:tc>
      </w:tr>
      <w:tr w:rsidR="003D56E2" w:rsidRPr="003D56E2" w:rsidTr="00B64056">
        <w:trPr>
          <w:trHeight w:val="37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Rast u 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3,2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9,6</w:t>
            </w:r>
          </w:p>
        </w:tc>
      </w:tr>
      <w:tr w:rsidR="003D56E2" w:rsidRPr="003D56E2" w:rsidTr="00B64056">
        <w:trPr>
          <w:trHeight w:val="214"/>
        </w:trPr>
        <w:tc>
          <w:tcPr>
            <w:tcW w:w="2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Bilans tekućeg računa u % BDP-a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-4,4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-4,1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-3,9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56E2" w:rsidRPr="003D56E2" w:rsidRDefault="003D56E2" w:rsidP="003D56E2">
            <w:pPr>
              <w:spacing w:after="0" w:line="240" w:lineRule="auto"/>
              <w:ind w:firstLineChars="100" w:firstLine="160"/>
              <w:jc w:val="right"/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</w:pPr>
            <w:r w:rsidRPr="003D56E2">
              <w:rPr>
                <w:rFonts w:eastAsia="Times New Roman" w:cs="Calibri"/>
                <w:color w:val="000000"/>
                <w:sz w:val="16"/>
                <w:szCs w:val="16"/>
                <w:lang w:val="hr-HR" w:eastAsia="hr-HR"/>
              </w:rPr>
              <w:t>-4,0</w:t>
            </w:r>
          </w:p>
        </w:tc>
      </w:tr>
    </w:tbl>
    <w:tbl>
      <w:tblPr>
        <w:tblW w:w="9954" w:type="dxa"/>
        <w:tblLook w:val="04A0" w:firstRow="1" w:lastRow="0" w:firstColumn="1" w:lastColumn="0" w:noHBand="0" w:noVBand="1"/>
      </w:tblPr>
      <w:tblGrid>
        <w:gridCol w:w="9954"/>
      </w:tblGrid>
      <w:tr w:rsidR="004746F9" w:rsidRPr="00AA4B8A" w:rsidTr="00E94CDA">
        <w:trPr>
          <w:trHeight w:val="80"/>
        </w:trPr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54F" w:rsidRPr="0036554F" w:rsidRDefault="0036554F" w:rsidP="001F77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hr-BA"/>
              </w:rPr>
            </w:pPr>
            <w:r w:rsidRPr="0036554F">
              <w:rPr>
                <w:rFonts w:ascii="Times New Roman" w:eastAsia="Times New Roman" w:hAnsi="Times New Roman"/>
                <w:sz w:val="18"/>
                <w:szCs w:val="24"/>
                <w:lang w:eastAsia="hr-BA"/>
              </w:rPr>
              <w:t>Izvor: DEP: Makroekonomske projekcije za DOB, mart 2019.</w:t>
            </w:r>
          </w:p>
          <w:p w:rsidR="0036554F" w:rsidRPr="0036554F" w:rsidRDefault="0036554F" w:rsidP="001F778B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24"/>
                <w:lang w:eastAsia="hr-BA"/>
              </w:rPr>
            </w:pPr>
          </w:p>
          <w:p w:rsidR="0036554F" w:rsidRDefault="0036554F" w:rsidP="001F77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BA"/>
              </w:rPr>
            </w:pPr>
          </w:p>
          <w:p w:rsidR="00F475EB" w:rsidRDefault="00F475EB" w:rsidP="001F77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BA"/>
              </w:rPr>
            </w:pPr>
          </w:p>
          <w:p w:rsidR="00F475EB" w:rsidRDefault="00F475EB" w:rsidP="001F77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BA"/>
              </w:rPr>
            </w:pPr>
          </w:p>
          <w:p w:rsidR="004746F9" w:rsidRPr="00F475EB" w:rsidRDefault="004746F9" w:rsidP="005E080D">
            <w:pPr>
              <w:pStyle w:val="Heading2"/>
              <w:rPr>
                <w:rFonts w:ascii="Times New Roman" w:hAnsi="Times New Roman"/>
                <w:lang w:eastAsia="hr-BA"/>
              </w:rPr>
            </w:pPr>
            <w:bookmarkStart w:id="5" w:name="_Toc9858432"/>
            <w:r w:rsidRPr="00F475EB">
              <w:rPr>
                <w:rFonts w:ascii="Times New Roman" w:hAnsi="Times New Roman"/>
                <w:lang w:eastAsia="hr-BA"/>
              </w:rPr>
              <w:lastRenderedPageBreak/>
              <w:t>2.2. Industrijska proizvodnja</w:t>
            </w:r>
            <w:bookmarkEnd w:id="5"/>
          </w:p>
          <w:p w:rsidR="00415D31" w:rsidRDefault="00415D31" w:rsidP="001F7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hr-BA"/>
              </w:rPr>
            </w:pPr>
          </w:p>
          <w:p w:rsidR="00CC4BA6" w:rsidRDefault="00CC4BA6" w:rsidP="001F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BA6">
              <w:rPr>
                <w:rFonts w:ascii="Times New Roman" w:hAnsi="Times New Roman"/>
                <w:sz w:val="24"/>
                <w:szCs w:val="24"/>
              </w:rPr>
              <w:t xml:space="preserve">U periodu 2019-2021. godine prema projekcijama DEP-a očekuje se rast obima investicija, trgovine, industrijske proizvodnje što bi trebalo imati pozitivan uticaj na zapošljavanje i plate u BiH. Takođe, nivo sporovođenja strukturnih reformi u BiH uticaće na intenzitet smanjenja stope nezaposlenosti, što je pored pretpostavljenog ekonomskog rasta jedan od bitnih faktora za ostvarenje projekcija na tržištu rada i kreiranje novih radnih mjesta. </w:t>
            </w:r>
          </w:p>
          <w:p w:rsidR="005E080D" w:rsidRPr="00CC4BA6" w:rsidRDefault="005E080D" w:rsidP="001F77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hr-BA"/>
              </w:rPr>
            </w:pPr>
          </w:p>
          <w:p w:rsidR="00AF22B7" w:rsidRPr="001F778B" w:rsidRDefault="00AF22B7" w:rsidP="001F7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r-BA"/>
              </w:rPr>
            </w:pPr>
          </w:p>
        </w:tc>
      </w:tr>
    </w:tbl>
    <w:p w:rsidR="004746F9" w:rsidRPr="00426862" w:rsidRDefault="004746F9" w:rsidP="004746F9">
      <w:pPr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bs-Latn-BA"/>
        </w:rPr>
      </w:pPr>
      <w:r w:rsidRPr="00426862">
        <w:rPr>
          <w:rFonts w:ascii="Times New Roman" w:hAnsi="Times New Roman"/>
          <w:iCs/>
          <w:color w:val="000000"/>
          <w:sz w:val="24"/>
          <w:szCs w:val="24"/>
          <w:lang w:val="bs-Latn-BA"/>
        </w:rPr>
        <w:lastRenderedPageBreak/>
        <w:t xml:space="preserve">Indeks industrijske proizvodnje u FBiH i Unsko-sanskom kantonu </w:t>
      </w:r>
    </w:p>
    <w:tbl>
      <w:tblPr>
        <w:tblW w:w="8320" w:type="dxa"/>
        <w:jc w:val="center"/>
        <w:tblLook w:val="0000" w:firstRow="0" w:lastRow="0" w:firstColumn="0" w:lastColumn="0" w:noHBand="0" w:noVBand="0"/>
      </w:tblPr>
      <w:tblGrid>
        <w:gridCol w:w="3449"/>
        <w:gridCol w:w="1224"/>
        <w:gridCol w:w="1985"/>
        <w:gridCol w:w="1662"/>
      </w:tblGrid>
      <w:tr w:rsidR="003518D5" w:rsidRPr="00AA4B8A" w:rsidTr="005E080D">
        <w:trPr>
          <w:trHeight w:val="743"/>
          <w:jc w:val="center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Indeksi g/g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5932D8">
              <w:rPr>
                <w:rFonts w:ascii="Times New Roman" w:hAnsi="Times New Roman"/>
                <w:color w:val="000000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 2019                    II 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I-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>II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                     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-II 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518D5" w:rsidRPr="00AA4B8A" w:rsidTr="005E080D">
        <w:trPr>
          <w:trHeight w:val="388"/>
          <w:jc w:val="center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B8A">
              <w:rPr>
                <w:rFonts w:ascii="Times New Roman" w:hAnsi="Times New Roman"/>
                <w:sz w:val="24"/>
                <w:szCs w:val="24"/>
              </w:rPr>
              <w:t>Federacija BiH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5E080D" w:rsidRPr="00AA4B8A" w:rsidTr="005E080D">
        <w:trPr>
          <w:trHeight w:val="214"/>
          <w:jc w:val="center"/>
        </w:trPr>
        <w:tc>
          <w:tcPr>
            <w:tcW w:w="8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80D" w:rsidRDefault="005E080D" w:rsidP="0035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8D5" w:rsidRPr="00AA4B8A" w:rsidTr="005E080D">
        <w:trPr>
          <w:trHeight w:val="646"/>
          <w:jc w:val="center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Indeksi g/g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5932D8">
              <w:rPr>
                <w:rFonts w:ascii="Times New Roman" w:hAnsi="Times New Roman"/>
                <w:color w:val="000000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 2019                    II 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I-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>II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                     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-II </w:t>
            </w:r>
            <w:r w:rsidRPr="00AA4B8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518D5" w:rsidRPr="00AA4B8A" w:rsidTr="005E080D">
        <w:trPr>
          <w:trHeight w:val="315"/>
          <w:jc w:val="center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B8A">
              <w:rPr>
                <w:rFonts w:ascii="Times New Roman" w:hAnsi="Times New Roman"/>
                <w:sz w:val="24"/>
                <w:szCs w:val="24"/>
              </w:rPr>
              <w:t>Unsko-sanski kanton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8D5" w:rsidRPr="00AA4B8A" w:rsidRDefault="003518D5" w:rsidP="00351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</w:tbl>
    <w:p w:rsidR="004746F9" w:rsidRDefault="004746F9" w:rsidP="004746F9">
      <w:pPr>
        <w:jc w:val="both"/>
        <w:rPr>
          <w:rFonts w:ascii="Times New Roman" w:hAnsi="Times New Roman"/>
          <w:i/>
          <w:sz w:val="20"/>
          <w:lang w:val="bs-Latn-BA"/>
        </w:rPr>
      </w:pPr>
      <w:r>
        <w:rPr>
          <w:i/>
          <w:sz w:val="20"/>
          <w:lang w:val="bs-Latn-BA"/>
        </w:rPr>
        <w:tab/>
      </w:r>
      <w:r>
        <w:rPr>
          <w:i/>
          <w:sz w:val="20"/>
          <w:lang w:val="bs-Latn-BA"/>
        </w:rPr>
        <w:tab/>
      </w:r>
      <w:r w:rsidRPr="00A52EB0">
        <w:rPr>
          <w:rFonts w:ascii="Times New Roman" w:hAnsi="Times New Roman"/>
          <w:i/>
          <w:sz w:val="20"/>
          <w:lang w:val="bs-Latn-BA"/>
        </w:rPr>
        <w:t xml:space="preserve">Izvor podataka: Mjesećni statistički pregled FBiH  i po kantonima </w:t>
      </w:r>
      <w:r w:rsidR="00B03F88">
        <w:rPr>
          <w:rFonts w:ascii="Times New Roman" w:hAnsi="Times New Roman"/>
          <w:i/>
          <w:sz w:val="20"/>
          <w:lang w:val="bs-Latn-BA"/>
        </w:rPr>
        <w:t>:</w:t>
      </w:r>
      <w:r w:rsidR="00407D27">
        <w:rPr>
          <w:rFonts w:ascii="Times New Roman" w:hAnsi="Times New Roman"/>
          <w:i/>
          <w:sz w:val="20"/>
          <w:lang w:val="bs-Latn-BA"/>
        </w:rPr>
        <w:t>4</w:t>
      </w:r>
      <w:r w:rsidRPr="00A52EB0">
        <w:rPr>
          <w:rFonts w:ascii="Times New Roman" w:hAnsi="Times New Roman"/>
          <w:i/>
          <w:sz w:val="20"/>
          <w:lang w:val="bs-Latn-BA"/>
        </w:rPr>
        <w:t>/</w:t>
      </w:r>
      <w:r w:rsidR="00407D27">
        <w:rPr>
          <w:rFonts w:ascii="Times New Roman" w:hAnsi="Times New Roman"/>
          <w:i/>
          <w:sz w:val="20"/>
          <w:lang w:val="bs-Latn-BA"/>
        </w:rPr>
        <w:t>1</w:t>
      </w:r>
      <w:r w:rsidR="000C3DE2">
        <w:rPr>
          <w:rFonts w:ascii="Times New Roman" w:hAnsi="Times New Roman"/>
          <w:i/>
          <w:sz w:val="20"/>
          <w:lang w:val="bs-Latn-BA"/>
        </w:rPr>
        <w:t>9</w:t>
      </w:r>
    </w:p>
    <w:p w:rsidR="00F761C8" w:rsidRPr="00F761C8" w:rsidRDefault="00F761C8" w:rsidP="00F761C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761C8">
        <w:rPr>
          <w:rFonts w:ascii="Times New Roman" w:hAnsi="Times New Roman"/>
          <w:sz w:val="24"/>
          <w:szCs w:val="24"/>
        </w:rPr>
        <w:t>Najveće učešće u kretanju industrijske proizvodnje ima oblast Proizvodnje/snadbdijevanja električnom energijom i plinom, koja bilježi rast u 2018. godini, zatim oblasti koje su zabilježile pad i to: Vađenje ruda i kamena, te Prerađivačka industrija, ponajviše usljed smanjene proizvodnje hemikalija, baznih metala, duhanskih, prehrambenih i tekstilnih proizvoda.</w:t>
      </w:r>
    </w:p>
    <w:p w:rsidR="004746F9" w:rsidRDefault="000C3DE2" w:rsidP="00335C6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5586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 pretpostavkom </w:t>
      </w:r>
      <w:r w:rsidRPr="000C3DE2">
        <w:rPr>
          <w:rFonts w:ascii="Times New Roman" w:hAnsi="Times New Roman"/>
          <w:sz w:val="24"/>
          <w:szCs w:val="24"/>
        </w:rPr>
        <w:t xml:space="preserve">povoljnog eksternog okruženja i implementacije strukturnih reformi u zemlji, sa glavnim osloncem u domaćoj tražnji, </w:t>
      </w:r>
      <w:r w:rsidR="00414574">
        <w:rPr>
          <w:rFonts w:ascii="Times New Roman" w:hAnsi="Times New Roman"/>
          <w:sz w:val="24"/>
          <w:szCs w:val="24"/>
        </w:rPr>
        <w:t>o</w:t>
      </w:r>
      <w:r w:rsidRPr="000C3DE2">
        <w:rPr>
          <w:rFonts w:ascii="Times New Roman" w:hAnsi="Times New Roman"/>
          <w:sz w:val="24"/>
          <w:szCs w:val="24"/>
        </w:rPr>
        <w:t xml:space="preserve">čekuje se usporen rast industrijske proizvodnje u 2019. godini </w:t>
      </w:r>
      <w:r w:rsidR="00414574">
        <w:rPr>
          <w:rFonts w:ascii="Times New Roman" w:hAnsi="Times New Roman"/>
          <w:sz w:val="24"/>
          <w:szCs w:val="24"/>
        </w:rPr>
        <w:t>U F</w:t>
      </w:r>
      <w:r w:rsidR="003D35F6">
        <w:rPr>
          <w:rFonts w:ascii="Times New Roman" w:hAnsi="Times New Roman"/>
          <w:sz w:val="24"/>
          <w:szCs w:val="24"/>
        </w:rPr>
        <w:t>B</w:t>
      </w:r>
      <w:r w:rsidR="00414574">
        <w:rPr>
          <w:rFonts w:ascii="Times New Roman" w:hAnsi="Times New Roman"/>
          <w:sz w:val="24"/>
          <w:szCs w:val="24"/>
        </w:rPr>
        <w:t xml:space="preserve">iH </w:t>
      </w:r>
      <w:r w:rsidRPr="000C3DE2">
        <w:rPr>
          <w:rFonts w:ascii="Times New Roman" w:hAnsi="Times New Roman"/>
          <w:sz w:val="24"/>
          <w:szCs w:val="24"/>
        </w:rPr>
        <w:t>po stopi od 2,3%, usljed smanjene proizvodnje u okviru rudarstva, prerađivačke proizvodnje, te smanjenja proizvodnje u hidroelektranama, dok se u narednom srednjoročnom periodu predviđa osjetniji napredak usljed provedbe reformskih mjera, odnosno povećanja investicionih ulaganja u industrijske kapacitete.</w:t>
      </w:r>
    </w:p>
    <w:p w:rsidR="005E080D" w:rsidRPr="00335C69" w:rsidRDefault="005E080D" w:rsidP="00335C6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746F9" w:rsidRDefault="004746F9" w:rsidP="005E080D">
      <w:pPr>
        <w:pStyle w:val="Heading2"/>
        <w:rPr>
          <w:rFonts w:eastAsia="TimesNewRomanPSMT"/>
          <w:lang w:eastAsia="hr-HR"/>
        </w:rPr>
      </w:pPr>
      <w:bookmarkStart w:id="6" w:name="_Toc9858433"/>
      <w:r w:rsidRPr="0020069F">
        <w:rPr>
          <w:rFonts w:eastAsia="TimesNewRomanPSMT"/>
          <w:lang w:eastAsia="hr-HR"/>
        </w:rPr>
        <w:t>2.3.</w:t>
      </w:r>
      <w:r>
        <w:rPr>
          <w:rFonts w:eastAsia="TimesNewRomanPSMT"/>
          <w:lang w:eastAsia="hr-HR"/>
        </w:rPr>
        <w:t xml:space="preserve"> </w:t>
      </w:r>
      <w:r w:rsidRPr="00F475EB">
        <w:rPr>
          <w:rFonts w:ascii="Times New Roman" w:eastAsia="TimesNewRomanPSMT" w:hAnsi="Times New Roman"/>
          <w:lang w:eastAsia="hr-HR"/>
        </w:rPr>
        <w:t>Tržište</w:t>
      </w:r>
      <w:r w:rsidRPr="00A52EB0">
        <w:rPr>
          <w:rFonts w:eastAsia="TimesNewRomanPSMT"/>
          <w:lang w:eastAsia="hr-HR"/>
        </w:rPr>
        <w:t xml:space="preserve"> rada</w:t>
      </w:r>
      <w:bookmarkEnd w:id="6"/>
    </w:p>
    <w:p w:rsidR="00005346" w:rsidRDefault="00415D31" w:rsidP="004746F9">
      <w:pPr>
        <w:jc w:val="both"/>
        <w:rPr>
          <w:rFonts w:ascii="Times New Roman" w:hAnsi="Times New Roman"/>
          <w:sz w:val="24"/>
          <w:szCs w:val="24"/>
        </w:rPr>
      </w:pPr>
      <w:r w:rsidRPr="00415D31">
        <w:rPr>
          <w:rFonts w:ascii="Times New Roman" w:hAnsi="Times New Roman"/>
          <w:sz w:val="24"/>
          <w:szCs w:val="24"/>
        </w:rPr>
        <w:t>U periodu 2019-2021. godine prema projekcijama DEP-a očekuje se rast obima investicija, trgovine, industrijske proizvodnje što bi trebalo imati pozitivan uticaj na zapošljavanje i plate u BiH. Takođe, nivo sporovođenja strukturnih reformi u BiH uticaće na intenzitet smanjenja stope nezaposlenosti, što je pored pretpostavljenog ekonomskog rasta jedan od bitnih faktora za ostvarenje projekcija na tržištu rada i kreiranje novih radnih mjesta. Uzimajući u obzir sve navedeno, u periodu 2019-2021. godine se može očekivati rast broja zaposlenih lica oko 2,5%- 2,6% g/g, odnosno neto plata 2,4%-2,8% g/g</w:t>
      </w:r>
      <w:r>
        <w:rPr>
          <w:rFonts w:ascii="Times New Roman" w:hAnsi="Times New Roman"/>
          <w:sz w:val="24"/>
          <w:szCs w:val="24"/>
        </w:rPr>
        <w:t>.</w:t>
      </w:r>
    </w:p>
    <w:p w:rsidR="005E080D" w:rsidRDefault="005E080D" w:rsidP="004746F9">
      <w:pPr>
        <w:jc w:val="both"/>
        <w:rPr>
          <w:rFonts w:ascii="Times New Roman" w:hAnsi="Times New Roman"/>
          <w:b/>
          <w:iCs/>
          <w:lang w:val="bs-Latn-BA"/>
        </w:rPr>
      </w:pPr>
    </w:p>
    <w:p w:rsidR="005E080D" w:rsidRDefault="005E080D" w:rsidP="004746F9">
      <w:pPr>
        <w:jc w:val="both"/>
        <w:rPr>
          <w:rFonts w:ascii="Times New Roman" w:hAnsi="Times New Roman"/>
          <w:b/>
          <w:iCs/>
          <w:lang w:val="bs-Latn-BA"/>
        </w:rPr>
      </w:pPr>
    </w:p>
    <w:p w:rsidR="004746F9" w:rsidRPr="00005346" w:rsidRDefault="004746F9" w:rsidP="004746F9">
      <w:pPr>
        <w:jc w:val="both"/>
        <w:rPr>
          <w:rFonts w:ascii="Times New Roman" w:hAnsi="Times New Roman"/>
          <w:sz w:val="24"/>
          <w:szCs w:val="24"/>
        </w:rPr>
      </w:pPr>
      <w:r w:rsidRPr="003E7F2C">
        <w:rPr>
          <w:rFonts w:ascii="Times New Roman" w:hAnsi="Times New Roman"/>
          <w:b/>
          <w:iCs/>
          <w:lang w:val="bs-Latn-BA"/>
        </w:rPr>
        <w:t>Uporedna</w:t>
      </w:r>
      <w:r w:rsidR="00836E40" w:rsidRPr="003E7F2C">
        <w:rPr>
          <w:rFonts w:ascii="Times New Roman" w:hAnsi="Times New Roman"/>
          <w:b/>
          <w:iCs/>
          <w:lang w:val="bs-Latn-BA"/>
        </w:rPr>
        <w:t xml:space="preserve"> </w:t>
      </w:r>
      <w:r w:rsidR="003E7F2C">
        <w:rPr>
          <w:rFonts w:ascii="Times New Roman" w:hAnsi="Times New Roman"/>
          <w:b/>
          <w:iCs/>
          <w:lang w:val="bs-Latn-BA"/>
        </w:rPr>
        <w:t xml:space="preserve"> </w:t>
      </w:r>
      <w:r w:rsidRPr="00104F88">
        <w:rPr>
          <w:rFonts w:ascii="Times New Roman" w:hAnsi="Times New Roman"/>
          <w:b/>
          <w:iCs/>
          <w:lang w:val="bs-Latn-BA"/>
        </w:rPr>
        <w:t>tabela zaposlenih/nezaposlenih u Federaciji BiH i Unsko-sanskom kantonu</w:t>
      </w:r>
    </w:p>
    <w:tbl>
      <w:tblPr>
        <w:tblW w:w="5446" w:type="dxa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963"/>
        <w:gridCol w:w="866"/>
        <w:gridCol w:w="866"/>
      </w:tblGrid>
      <w:tr w:rsidR="000F1121" w:rsidRPr="00AA4B8A" w:rsidTr="000F1121">
        <w:trPr>
          <w:trHeight w:val="255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121" w:rsidRPr="00AA4B8A" w:rsidRDefault="000F1121" w:rsidP="001F778B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A4B8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121" w:rsidRPr="00AA4B8A" w:rsidRDefault="00005346" w:rsidP="00407D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ø</w:t>
            </w:r>
            <w:r w:rsidR="000F1121" w:rsidRPr="00AA4B8A">
              <w:rPr>
                <w:rFonts w:ascii="Times New Roman" w:hAnsi="Times New Roman"/>
                <w:color w:val="000000"/>
                <w:sz w:val="20"/>
              </w:rPr>
              <w:t xml:space="preserve"> 201</w:t>
            </w:r>
            <w:r w:rsidR="006D381F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121" w:rsidRPr="00AA4B8A" w:rsidRDefault="000F1121" w:rsidP="00407D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4B8A">
              <w:rPr>
                <w:rFonts w:ascii="Times New Roman" w:hAnsi="Times New Roman"/>
                <w:color w:val="000000"/>
                <w:sz w:val="20"/>
              </w:rPr>
              <w:t>I 201</w:t>
            </w:r>
            <w:r w:rsidR="006D381F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121" w:rsidRPr="00AA4B8A" w:rsidRDefault="000F1121" w:rsidP="00407D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4B8A">
              <w:rPr>
                <w:rFonts w:ascii="Times New Roman" w:hAnsi="Times New Roman"/>
                <w:color w:val="000000"/>
                <w:sz w:val="20"/>
              </w:rPr>
              <w:t>II 201</w:t>
            </w:r>
            <w:r w:rsidR="006D381F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  <w:tr w:rsidR="000F1121" w:rsidRPr="00AA4B8A" w:rsidTr="000F1121">
        <w:trPr>
          <w:trHeight w:val="255"/>
          <w:jc w:val="center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121" w:rsidRPr="00AA4B8A" w:rsidRDefault="000F1121" w:rsidP="001F778B">
            <w:pPr>
              <w:rPr>
                <w:rFonts w:ascii="Times New Roman" w:hAnsi="Times New Roman"/>
                <w:color w:val="000000"/>
                <w:sz w:val="20"/>
              </w:rPr>
            </w:pPr>
            <w:r w:rsidRPr="00AA4B8A">
              <w:rPr>
                <w:rFonts w:ascii="Times New Roman" w:hAnsi="Times New Roman"/>
                <w:color w:val="000000"/>
                <w:sz w:val="20"/>
              </w:rPr>
              <w:t>Broj zaposlenih u FBiH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121" w:rsidRPr="00AA4B8A" w:rsidRDefault="006D381F" w:rsidP="001F778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519.800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121" w:rsidRPr="00AA4B8A" w:rsidRDefault="006D381F" w:rsidP="001F778B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527.524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121" w:rsidRPr="00AA4B8A" w:rsidRDefault="006D381F" w:rsidP="001F778B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523.658</w:t>
            </w:r>
          </w:p>
        </w:tc>
      </w:tr>
      <w:tr w:rsidR="000F1121" w:rsidRPr="00AA4B8A" w:rsidTr="000F1121">
        <w:trPr>
          <w:trHeight w:val="255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0F1121" w:rsidRPr="00DC06D7" w:rsidRDefault="000F1121" w:rsidP="001F778B">
            <w:pPr>
              <w:rPr>
                <w:rFonts w:ascii="Times New Roman" w:hAnsi="Times New Roman"/>
                <w:b/>
                <w:sz w:val="20"/>
              </w:rPr>
            </w:pPr>
            <w:r w:rsidRPr="00DC06D7">
              <w:rPr>
                <w:rFonts w:ascii="Times New Roman" w:hAnsi="Times New Roman"/>
                <w:b/>
                <w:sz w:val="20"/>
              </w:rPr>
              <w:t>Broj zaposlenih u USK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0F1121" w:rsidRPr="00DC06D7" w:rsidRDefault="006D381F" w:rsidP="000F112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38.328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</w:tcPr>
          <w:p w:rsidR="000F1121" w:rsidRPr="00DC06D7" w:rsidRDefault="003E7F2C" w:rsidP="001F778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 w:rsidR="006D381F">
              <w:rPr>
                <w:rFonts w:ascii="Times New Roman" w:hAnsi="Times New Roman"/>
                <w:b/>
                <w:sz w:val="20"/>
              </w:rPr>
              <w:t>7.814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bottom"/>
          </w:tcPr>
          <w:p w:rsidR="000F1121" w:rsidRPr="00DC06D7" w:rsidRDefault="006D381F" w:rsidP="001F778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37.807</w:t>
            </w:r>
          </w:p>
        </w:tc>
      </w:tr>
      <w:tr w:rsidR="000F1121" w:rsidRPr="00AA4B8A" w:rsidTr="000F1121">
        <w:trPr>
          <w:trHeight w:val="255"/>
          <w:jc w:val="center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121" w:rsidRPr="00AA4B8A" w:rsidRDefault="000F1121" w:rsidP="001F778B">
            <w:pPr>
              <w:rPr>
                <w:rFonts w:ascii="Times New Roman" w:hAnsi="Times New Roman"/>
                <w:sz w:val="20"/>
              </w:rPr>
            </w:pPr>
            <w:r w:rsidRPr="00AA4B8A">
              <w:rPr>
                <w:rFonts w:ascii="Times New Roman" w:hAnsi="Times New Roman"/>
                <w:sz w:val="20"/>
              </w:rPr>
              <w:t>Broj nezaposlenih u FBiH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121" w:rsidRPr="00AA4B8A" w:rsidRDefault="006D381F" w:rsidP="001F778B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335.610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121" w:rsidRPr="00AA4B8A" w:rsidRDefault="006D381F" w:rsidP="001F778B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328.503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121" w:rsidRPr="00AA4B8A" w:rsidRDefault="006D381F" w:rsidP="001F778B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326.266</w:t>
            </w:r>
          </w:p>
        </w:tc>
      </w:tr>
      <w:tr w:rsidR="000F1121" w:rsidRPr="00AA4B8A" w:rsidTr="000F1121">
        <w:trPr>
          <w:trHeight w:val="255"/>
          <w:jc w:val="center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121" w:rsidRPr="00DC06D7" w:rsidRDefault="000F1121" w:rsidP="001F778B">
            <w:pPr>
              <w:rPr>
                <w:rFonts w:ascii="Times New Roman" w:hAnsi="Times New Roman"/>
                <w:b/>
                <w:sz w:val="20"/>
              </w:rPr>
            </w:pPr>
            <w:r w:rsidRPr="00DC06D7">
              <w:rPr>
                <w:rFonts w:ascii="Times New Roman" w:hAnsi="Times New Roman"/>
                <w:b/>
                <w:sz w:val="20"/>
              </w:rPr>
              <w:t>Broj nezaposlenih u USK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121" w:rsidRPr="00DC06D7" w:rsidRDefault="006D381F" w:rsidP="001F778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38.172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121" w:rsidRPr="00DC06D7" w:rsidRDefault="006D381F" w:rsidP="000F112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38.196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121" w:rsidRPr="00DC06D7" w:rsidRDefault="006D381F" w:rsidP="000F112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37.981</w:t>
            </w:r>
          </w:p>
        </w:tc>
      </w:tr>
    </w:tbl>
    <w:p w:rsidR="00205570" w:rsidRDefault="00205570" w:rsidP="00205570">
      <w:pPr>
        <w:jc w:val="both"/>
        <w:rPr>
          <w:rFonts w:ascii="Times New Roman" w:hAnsi="Times New Roman"/>
          <w:i/>
          <w:sz w:val="20"/>
          <w:lang w:val="bs-Latn-BA"/>
        </w:rPr>
      </w:pPr>
      <w:r>
        <w:rPr>
          <w:rFonts w:ascii="Times New Roman" w:hAnsi="Times New Roman"/>
          <w:i/>
          <w:sz w:val="20"/>
          <w:lang w:val="bs-Latn-BA"/>
        </w:rPr>
        <w:t xml:space="preserve">                                    </w:t>
      </w:r>
      <w:r w:rsidRPr="00624E13">
        <w:rPr>
          <w:rFonts w:ascii="Times New Roman" w:hAnsi="Times New Roman"/>
          <w:i/>
          <w:sz w:val="20"/>
          <w:lang w:val="bs-Latn-BA"/>
        </w:rPr>
        <w:t>Izvor podataka: Mjesećni statistički pregled u FBiH i po kantonima ;</w:t>
      </w:r>
      <w:r>
        <w:rPr>
          <w:rFonts w:ascii="Times New Roman" w:hAnsi="Times New Roman"/>
          <w:i/>
          <w:sz w:val="20"/>
          <w:lang w:val="bs-Latn-BA"/>
        </w:rPr>
        <w:t>4</w:t>
      </w:r>
      <w:r w:rsidRPr="00624E13">
        <w:rPr>
          <w:rFonts w:ascii="Times New Roman" w:hAnsi="Times New Roman"/>
          <w:i/>
          <w:sz w:val="20"/>
          <w:lang w:val="bs-Latn-BA"/>
        </w:rPr>
        <w:t>/1</w:t>
      </w:r>
      <w:r>
        <w:rPr>
          <w:rFonts w:ascii="Times New Roman" w:hAnsi="Times New Roman"/>
          <w:i/>
          <w:sz w:val="20"/>
          <w:lang w:val="bs-Latn-BA"/>
        </w:rPr>
        <w:t>9</w:t>
      </w:r>
    </w:p>
    <w:p w:rsidR="009E4D49" w:rsidRPr="009E4D49" w:rsidRDefault="009E4D49" w:rsidP="009E4D4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4D49">
        <w:rPr>
          <w:rFonts w:ascii="Times New Roman" w:hAnsi="Times New Roman"/>
          <w:sz w:val="24"/>
          <w:szCs w:val="24"/>
        </w:rPr>
        <w:t xml:space="preserve">U februaru 2019. godine, ukupan broj zaposlenih u Federaciji BiH iznosio je 523.658. U odnosu na prethodni mjesec broj zaposlenih se smanjio za 0,7%, a broj zaposlenih žena za 1,0%. Broj zaposlenih u pravnim osobama u odnosu na prethodni mjesec se smanjio za 0,8%, a broj zaposlenih žena za 1,1%. </w:t>
      </w:r>
    </w:p>
    <w:p w:rsidR="009E4D49" w:rsidRDefault="009E4D49" w:rsidP="009E4D4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4D49">
        <w:rPr>
          <w:rFonts w:ascii="Times New Roman" w:hAnsi="Times New Roman"/>
          <w:sz w:val="24"/>
          <w:szCs w:val="24"/>
        </w:rPr>
        <w:t>Broj nezaposlenih u februaru 2019. godine u odnosu na prethodni mjesec se smanjio za 0,7%, a broj nezaposlenih žena za 0,6%. Stopa registrirane nezaposlenosti u februaru 2019. iznosila je 38,4%, a za žene 46,1%.</w:t>
      </w:r>
      <w:r w:rsidRPr="009E4D49">
        <w:rPr>
          <w:rStyle w:val="FootnoteReference"/>
          <w:rFonts w:ascii="Times New Roman" w:hAnsi="Times New Roman"/>
          <w:sz w:val="24"/>
          <w:szCs w:val="24"/>
        </w:rPr>
        <w:footnoteReference w:id="4"/>
      </w:r>
    </w:p>
    <w:p w:rsidR="003D35F6" w:rsidRPr="00F50423" w:rsidRDefault="002C5908" w:rsidP="00F504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F50423">
        <w:rPr>
          <w:rFonts w:ascii="Times New Roman" w:hAnsi="Times New Roman"/>
          <w:sz w:val="24"/>
          <w:szCs w:val="24"/>
        </w:rPr>
        <w:t>Unsko-sanskom kantonu sličan je trend rasta kao i u FBiH, što je vidljivo iz priložene tabele.</w:t>
      </w:r>
      <w:r w:rsidR="00A37CC2">
        <w:rPr>
          <w:rFonts w:ascii="Times New Roman" w:hAnsi="Times New Roman"/>
          <w:b/>
          <w:iCs/>
          <w:sz w:val="24"/>
          <w:szCs w:val="24"/>
          <w:lang w:val="bs-Latn-BA"/>
        </w:rPr>
        <w:t xml:space="preserve">       </w:t>
      </w:r>
    </w:p>
    <w:p w:rsidR="00A37CC2" w:rsidRPr="00005346" w:rsidRDefault="00A37CC2" w:rsidP="003D35F6">
      <w:pPr>
        <w:spacing w:after="0"/>
        <w:rPr>
          <w:rFonts w:ascii="Times New Roman" w:hAnsi="Times New Roman"/>
          <w:b/>
          <w:iCs/>
          <w:sz w:val="20"/>
          <w:szCs w:val="20"/>
          <w:lang w:val="bs-Latn-BA"/>
        </w:rPr>
      </w:pPr>
      <w:r>
        <w:rPr>
          <w:rFonts w:ascii="Times New Roman" w:hAnsi="Times New Roman"/>
          <w:b/>
          <w:iCs/>
          <w:sz w:val="24"/>
          <w:szCs w:val="24"/>
          <w:lang w:val="bs-Latn-BA"/>
        </w:rPr>
        <w:t xml:space="preserve"> </w:t>
      </w:r>
      <w:r w:rsidR="00960097" w:rsidRPr="00005346">
        <w:rPr>
          <w:rFonts w:ascii="Times New Roman" w:hAnsi="Times New Roman"/>
          <w:b/>
          <w:iCs/>
          <w:sz w:val="20"/>
          <w:szCs w:val="20"/>
          <w:lang w:val="bs-Latn-BA"/>
        </w:rPr>
        <w:t xml:space="preserve">Procjena prisutnog stanovništva i stopa zaposlenosti i </w:t>
      </w:r>
      <w:r w:rsidRPr="00005346">
        <w:rPr>
          <w:rFonts w:ascii="Times New Roman" w:hAnsi="Times New Roman"/>
          <w:b/>
          <w:iCs/>
          <w:sz w:val="20"/>
          <w:szCs w:val="20"/>
          <w:lang w:val="bs-Latn-BA"/>
        </w:rPr>
        <w:t>nezaposlenosti</w:t>
      </w:r>
    </w:p>
    <w:p w:rsidR="00960097" w:rsidRPr="00005346" w:rsidRDefault="00A37CC2" w:rsidP="003D35F6">
      <w:pPr>
        <w:spacing w:after="0"/>
        <w:rPr>
          <w:rFonts w:ascii="Times New Roman" w:hAnsi="Times New Roman"/>
          <w:b/>
          <w:iCs/>
          <w:sz w:val="20"/>
          <w:szCs w:val="20"/>
          <w:lang w:val="bs-Latn-BA"/>
        </w:rPr>
      </w:pPr>
      <w:r w:rsidRPr="00005346">
        <w:rPr>
          <w:rFonts w:ascii="Times New Roman" w:hAnsi="Times New Roman"/>
          <w:b/>
          <w:iCs/>
          <w:sz w:val="20"/>
          <w:szCs w:val="20"/>
          <w:lang w:val="bs-Latn-BA"/>
        </w:rPr>
        <w:t xml:space="preserve">                       u Unsko-sanskom kantonu po gradovima/općinama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395"/>
        <w:gridCol w:w="1500"/>
        <w:gridCol w:w="1451"/>
        <w:gridCol w:w="1547"/>
        <w:gridCol w:w="1205"/>
        <w:gridCol w:w="1394"/>
      </w:tblGrid>
      <w:tr w:rsidR="00F23607" w:rsidTr="00F23607">
        <w:tc>
          <w:tcPr>
            <w:tcW w:w="577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</w:p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R.B</w:t>
            </w:r>
          </w:p>
        </w:tc>
        <w:tc>
          <w:tcPr>
            <w:tcW w:w="1453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</w:p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BIRO RADA</w:t>
            </w:r>
          </w:p>
        </w:tc>
        <w:tc>
          <w:tcPr>
            <w:tcW w:w="1556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Procjena prisutnog stanovništva</w:t>
            </w:r>
          </w:p>
        </w:tc>
        <w:tc>
          <w:tcPr>
            <w:tcW w:w="1525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 xml:space="preserve">Broj zaposlenih </w:t>
            </w:r>
          </w:p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Februar 2019.</w:t>
            </w:r>
          </w:p>
        </w:tc>
        <w:tc>
          <w:tcPr>
            <w:tcW w:w="1603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 xml:space="preserve">Broj </w:t>
            </w:r>
          </w:p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 xml:space="preserve">nezaposlenih </w:t>
            </w:r>
          </w:p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Februar 2019.</w:t>
            </w:r>
          </w:p>
        </w:tc>
        <w:tc>
          <w:tcPr>
            <w:tcW w:w="1174" w:type="dxa"/>
          </w:tcPr>
          <w:p w:rsidR="00F23607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Stopa zaposlenosti</w:t>
            </w:r>
          </w:p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%</w:t>
            </w:r>
          </w:p>
        </w:tc>
        <w:tc>
          <w:tcPr>
            <w:tcW w:w="1174" w:type="dxa"/>
          </w:tcPr>
          <w:p w:rsidR="00F23607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Stopa nezaposlenosti</w:t>
            </w:r>
          </w:p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%</w:t>
            </w:r>
          </w:p>
        </w:tc>
      </w:tr>
      <w:tr w:rsidR="00F23607" w:rsidTr="00F23607">
        <w:tc>
          <w:tcPr>
            <w:tcW w:w="577" w:type="dxa"/>
          </w:tcPr>
          <w:p w:rsidR="00F23607" w:rsidRPr="00005346" w:rsidRDefault="00F23607" w:rsidP="0083477B">
            <w:pPr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  <w:t>1.</w:t>
            </w:r>
          </w:p>
        </w:tc>
        <w:tc>
          <w:tcPr>
            <w:tcW w:w="1453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Bihać</w:t>
            </w:r>
          </w:p>
        </w:tc>
        <w:tc>
          <w:tcPr>
            <w:tcW w:w="1556" w:type="dxa"/>
          </w:tcPr>
          <w:p w:rsidR="00F23607" w:rsidRPr="00005346" w:rsidRDefault="00F23607" w:rsidP="00960097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56.207</w:t>
            </w:r>
          </w:p>
        </w:tc>
        <w:tc>
          <w:tcPr>
            <w:tcW w:w="1525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12.818</w:t>
            </w:r>
          </w:p>
        </w:tc>
        <w:tc>
          <w:tcPr>
            <w:tcW w:w="1603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8.079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33,54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38,66</w:t>
            </w:r>
          </w:p>
        </w:tc>
      </w:tr>
      <w:tr w:rsidR="00F23607" w:rsidTr="00F23607">
        <w:tc>
          <w:tcPr>
            <w:tcW w:w="577" w:type="dxa"/>
          </w:tcPr>
          <w:p w:rsidR="00F23607" w:rsidRPr="00005346" w:rsidRDefault="00F23607" w:rsidP="0083477B">
            <w:pPr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  <w:t>2.</w:t>
            </w:r>
          </w:p>
        </w:tc>
        <w:tc>
          <w:tcPr>
            <w:tcW w:w="1453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B.Krupa</w:t>
            </w:r>
          </w:p>
        </w:tc>
        <w:tc>
          <w:tcPr>
            <w:tcW w:w="1556" w:type="dxa"/>
          </w:tcPr>
          <w:p w:rsidR="00F23607" w:rsidRPr="00005346" w:rsidRDefault="00F23607" w:rsidP="00960097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25.010</w:t>
            </w:r>
          </w:p>
        </w:tc>
        <w:tc>
          <w:tcPr>
            <w:tcW w:w="1525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3.567</w:t>
            </w:r>
          </w:p>
        </w:tc>
        <w:tc>
          <w:tcPr>
            <w:tcW w:w="1603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3.808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20,97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51,63</w:t>
            </w:r>
          </w:p>
        </w:tc>
      </w:tr>
      <w:tr w:rsidR="00F23607" w:rsidTr="00F23607">
        <w:tc>
          <w:tcPr>
            <w:tcW w:w="577" w:type="dxa"/>
          </w:tcPr>
          <w:p w:rsidR="00F23607" w:rsidRPr="00005346" w:rsidRDefault="00F23607" w:rsidP="0083477B">
            <w:pPr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  <w:t>3.</w:t>
            </w:r>
          </w:p>
        </w:tc>
        <w:tc>
          <w:tcPr>
            <w:tcW w:w="1453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B.Petrovac</w:t>
            </w:r>
          </w:p>
        </w:tc>
        <w:tc>
          <w:tcPr>
            <w:tcW w:w="1556" w:type="dxa"/>
          </w:tcPr>
          <w:p w:rsidR="00F23607" w:rsidRPr="00005346" w:rsidRDefault="00F23607" w:rsidP="00960097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6.620</w:t>
            </w:r>
          </w:p>
        </w:tc>
        <w:tc>
          <w:tcPr>
            <w:tcW w:w="1525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1.276</w:t>
            </w:r>
          </w:p>
        </w:tc>
        <w:tc>
          <w:tcPr>
            <w:tcW w:w="1603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939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28,35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42,39</w:t>
            </w:r>
          </w:p>
        </w:tc>
      </w:tr>
      <w:tr w:rsidR="00F23607" w:rsidTr="00F23607">
        <w:tc>
          <w:tcPr>
            <w:tcW w:w="577" w:type="dxa"/>
          </w:tcPr>
          <w:p w:rsidR="00F23607" w:rsidRPr="00005346" w:rsidRDefault="00F23607" w:rsidP="0083477B">
            <w:pPr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  <w:t>4.</w:t>
            </w:r>
          </w:p>
        </w:tc>
        <w:tc>
          <w:tcPr>
            <w:tcW w:w="1453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Bužim</w:t>
            </w:r>
          </w:p>
        </w:tc>
        <w:tc>
          <w:tcPr>
            <w:tcW w:w="1556" w:type="dxa"/>
          </w:tcPr>
          <w:p w:rsidR="00F23607" w:rsidRPr="00005346" w:rsidRDefault="00F23607" w:rsidP="00960097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19.295</w:t>
            </w:r>
          </w:p>
        </w:tc>
        <w:tc>
          <w:tcPr>
            <w:tcW w:w="1525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1.649</w:t>
            </w:r>
          </w:p>
        </w:tc>
        <w:tc>
          <w:tcPr>
            <w:tcW w:w="1603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3.613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12,57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68,66</w:t>
            </w:r>
          </w:p>
        </w:tc>
      </w:tr>
      <w:tr w:rsidR="00F23607" w:rsidTr="00F23607">
        <w:tc>
          <w:tcPr>
            <w:tcW w:w="577" w:type="dxa"/>
          </w:tcPr>
          <w:p w:rsidR="00F23607" w:rsidRPr="00005346" w:rsidRDefault="00F23607" w:rsidP="0083477B">
            <w:pPr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  <w:t>5.</w:t>
            </w:r>
          </w:p>
        </w:tc>
        <w:tc>
          <w:tcPr>
            <w:tcW w:w="1453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Cazin</w:t>
            </w:r>
          </w:p>
        </w:tc>
        <w:tc>
          <w:tcPr>
            <w:tcW w:w="1556" w:type="dxa"/>
          </w:tcPr>
          <w:p w:rsidR="00F23607" w:rsidRPr="00005346" w:rsidRDefault="00F23607" w:rsidP="00960097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65.766</w:t>
            </w:r>
          </w:p>
        </w:tc>
        <w:tc>
          <w:tcPr>
            <w:tcW w:w="1525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7.279</w:t>
            </w:r>
          </w:p>
        </w:tc>
        <w:tc>
          <w:tcPr>
            <w:tcW w:w="1603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8.702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16,28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54,45</w:t>
            </w:r>
          </w:p>
        </w:tc>
      </w:tr>
      <w:tr w:rsidR="00F23607" w:rsidTr="00F23607">
        <w:tc>
          <w:tcPr>
            <w:tcW w:w="577" w:type="dxa"/>
          </w:tcPr>
          <w:p w:rsidR="00F23607" w:rsidRPr="00005346" w:rsidRDefault="00F23607" w:rsidP="0083477B">
            <w:pPr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  <w:t>6.</w:t>
            </w:r>
          </w:p>
        </w:tc>
        <w:tc>
          <w:tcPr>
            <w:tcW w:w="1453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Ključ</w:t>
            </w:r>
          </w:p>
        </w:tc>
        <w:tc>
          <w:tcPr>
            <w:tcW w:w="1556" w:type="dxa"/>
          </w:tcPr>
          <w:p w:rsidR="00F23607" w:rsidRPr="00005346" w:rsidRDefault="00F23607" w:rsidP="00960097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15.994</w:t>
            </w:r>
          </w:p>
        </w:tc>
        <w:tc>
          <w:tcPr>
            <w:tcW w:w="1525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1.824</w:t>
            </w:r>
          </w:p>
        </w:tc>
        <w:tc>
          <w:tcPr>
            <w:tcW w:w="1603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2.055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16,77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52,98</w:t>
            </w:r>
          </w:p>
        </w:tc>
      </w:tr>
      <w:tr w:rsidR="00F23607" w:rsidTr="00F23607">
        <w:tc>
          <w:tcPr>
            <w:tcW w:w="577" w:type="dxa"/>
          </w:tcPr>
          <w:p w:rsidR="00F23607" w:rsidRPr="00005346" w:rsidRDefault="00F23607" w:rsidP="0083477B">
            <w:pPr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  <w:t>7.</w:t>
            </w:r>
          </w:p>
        </w:tc>
        <w:tc>
          <w:tcPr>
            <w:tcW w:w="1453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S.Most</w:t>
            </w:r>
          </w:p>
        </w:tc>
        <w:tc>
          <w:tcPr>
            <w:tcW w:w="1556" w:type="dxa"/>
          </w:tcPr>
          <w:p w:rsidR="00F23607" w:rsidRPr="00005346" w:rsidRDefault="00F23607" w:rsidP="00960097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40.166</w:t>
            </w:r>
          </w:p>
        </w:tc>
        <w:tc>
          <w:tcPr>
            <w:tcW w:w="1525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4.301</w:t>
            </w:r>
          </w:p>
        </w:tc>
        <w:tc>
          <w:tcPr>
            <w:tcW w:w="1603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3.619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15,75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45,69</w:t>
            </w:r>
          </w:p>
        </w:tc>
      </w:tr>
      <w:tr w:rsidR="00F23607" w:rsidTr="00F23607">
        <w:tc>
          <w:tcPr>
            <w:tcW w:w="577" w:type="dxa"/>
          </w:tcPr>
          <w:p w:rsidR="00F23607" w:rsidRPr="00005346" w:rsidRDefault="00F23607" w:rsidP="0083477B">
            <w:pPr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b/>
                <w:iCs/>
                <w:sz w:val="20"/>
                <w:szCs w:val="24"/>
                <w:lang w:val="bs-Latn-BA"/>
              </w:rPr>
              <w:t>8.</w:t>
            </w:r>
          </w:p>
        </w:tc>
        <w:tc>
          <w:tcPr>
            <w:tcW w:w="1453" w:type="dxa"/>
          </w:tcPr>
          <w:p w:rsidR="00F23607" w:rsidRPr="00005346" w:rsidRDefault="00F23607" w:rsidP="00671BEF">
            <w:pPr>
              <w:jc w:val="both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V.Kladuša</w:t>
            </w:r>
          </w:p>
        </w:tc>
        <w:tc>
          <w:tcPr>
            <w:tcW w:w="1556" w:type="dxa"/>
          </w:tcPr>
          <w:p w:rsidR="00F23607" w:rsidRPr="00005346" w:rsidRDefault="00F23607" w:rsidP="00960097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40.222</w:t>
            </w:r>
          </w:p>
        </w:tc>
        <w:tc>
          <w:tcPr>
            <w:tcW w:w="1525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5.093</w:t>
            </w:r>
          </w:p>
        </w:tc>
        <w:tc>
          <w:tcPr>
            <w:tcW w:w="1603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 w:rsidRPr="00005346"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7.166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18,62</w:t>
            </w:r>
          </w:p>
        </w:tc>
        <w:tc>
          <w:tcPr>
            <w:tcW w:w="1174" w:type="dxa"/>
          </w:tcPr>
          <w:p w:rsidR="00F23607" w:rsidRPr="00005346" w:rsidRDefault="00F23607" w:rsidP="00960097">
            <w:pPr>
              <w:jc w:val="right"/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bs-Latn-BA"/>
              </w:rPr>
              <w:t>58,46</w:t>
            </w:r>
          </w:p>
        </w:tc>
      </w:tr>
      <w:tr w:rsidR="00F23607" w:rsidTr="00F23607">
        <w:tc>
          <w:tcPr>
            <w:tcW w:w="577" w:type="dxa"/>
          </w:tcPr>
          <w:p w:rsidR="00F23607" w:rsidRPr="0083477B" w:rsidRDefault="00F23607" w:rsidP="0083477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</w:pPr>
            <w:r w:rsidRPr="0083477B"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  <w:t>9.</w:t>
            </w:r>
          </w:p>
        </w:tc>
        <w:tc>
          <w:tcPr>
            <w:tcW w:w="1453" w:type="dxa"/>
          </w:tcPr>
          <w:p w:rsidR="00F23607" w:rsidRPr="00960097" w:rsidRDefault="00F23607" w:rsidP="00671BE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</w:pPr>
            <w:r w:rsidRPr="00960097"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  <w:t>USK</w:t>
            </w:r>
          </w:p>
        </w:tc>
        <w:tc>
          <w:tcPr>
            <w:tcW w:w="1556" w:type="dxa"/>
          </w:tcPr>
          <w:p w:rsidR="00F23607" w:rsidRPr="003D35F6" w:rsidRDefault="00F23607" w:rsidP="0096009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</w:pPr>
            <w:r w:rsidRPr="003D35F6"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  <w:t>269.280</w:t>
            </w:r>
          </w:p>
        </w:tc>
        <w:tc>
          <w:tcPr>
            <w:tcW w:w="1525" w:type="dxa"/>
          </w:tcPr>
          <w:p w:rsidR="00F23607" w:rsidRPr="003D35F6" w:rsidRDefault="00F23607" w:rsidP="00960097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</w:pPr>
            <w:r w:rsidRPr="003D35F6"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  <w:t>37.807</w:t>
            </w:r>
          </w:p>
        </w:tc>
        <w:tc>
          <w:tcPr>
            <w:tcW w:w="1603" w:type="dxa"/>
          </w:tcPr>
          <w:p w:rsidR="00F23607" w:rsidRPr="003D35F6" w:rsidRDefault="00F23607" w:rsidP="00960097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</w:pPr>
            <w:r w:rsidRPr="003D35F6"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  <w:t>37.981</w:t>
            </w:r>
          </w:p>
        </w:tc>
        <w:tc>
          <w:tcPr>
            <w:tcW w:w="1174" w:type="dxa"/>
          </w:tcPr>
          <w:p w:rsidR="00F23607" w:rsidRPr="003D35F6" w:rsidRDefault="00F23607" w:rsidP="00960097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  <w:t>20,65</w:t>
            </w:r>
          </w:p>
        </w:tc>
        <w:tc>
          <w:tcPr>
            <w:tcW w:w="1174" w:type="dxa"/>
          </w:tcPr>
          <w:p w:rsidR="00F23607" w:rsidRPr="003D35F6" w:rsidRDefault="00F23607" w:rsidP="00960097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bs-Latn-BA"/>
              </w:rPr>
              <w:t>50,11</w:t>
            </w:r>
          </w:p>
        </w:tc>
      </w:tr>
    </w:tbl>
    <w:p w:rsidR="00005346" w:rsidRPr="00F50423" w:rsidRDefault="00205570" w:rsidP="004746F9">
      <w:pPr>
        <w:jc w:val="both"/>
        <w:rPr>
          <w:rFonts w:ascii="Times New Roman" w:hAnsi="Times New Roman"/>
          <w:i/>
          <w:iCs/>
          <w:sz w:val="20"/>
          <w:szCs w:val="20"/>
          <w:lang w:val="bs-Latn-BA"/>
        </w:rPr>
      </w:pPr>
      <w:r w:rsidRPr="00205570">
        <w:rPr>
          <w:rFonts w:ascii="Times New Roman" w:hAnsi="Times New Roman"/>
          <w:i/>
          <w:iCs/>
          <w:sz w:val="20"/>
          <w:szCs w:val="20"/>
          <w:lang w:val="bs-Latn-BA"/>
        </w:rPr>
        <w:t>Izvor</w:t>
      </w:r>
      <w:r>
        <w:rPr>
          <w:rFonts w:ascii="Times New Roman" w:hAnsi="Times New Roman"/>
          <w:i/>
          <w:iCs/>
          <w:sz w:val="20"/>
          <w:szCs w:val="20"/>
          <w:lang w:val="bs-Latn-BA"/>
        </w:rPr>
        <w:t xml:space="preserve"> podataka</w:t>
      </w:r>
      <w:r w:rsidRPr="00205570">
        <w:rPr>
          <w:rFonts w:ascii="Times New Roman" w:hAnsi="Times New Roman"/>
          <w:i/>
          <w:iCs/>
          <w:sz w:val="20"/>
          <w:szCs w:val="20"/>
          <w:lang w:val="bs-Latn-BA"/>
        </w:rPr>
        <w:t>: Bilten JU „ Služba za zapošljavanje USK-a“</w:t>
      </w:r>
      <w:r w:rsidR="00915586">
        <w:rPr>
          <w:rFonts w:ascii="Times New Roman" w:hAnsi="Times New Roman"/>
          <w:i/>
          <w:iCs/>
          <w:sz w:val="20"/>
          <w:szCs w:val="20"/>
          <w:lang w:val="bs-Latn-BA"/>
        </w:rPr>
        <w:t xml:space="preserve"> Bihać</w:t>
      </w:r>
      <w:r w:rsidRPr="00205570">
        <w:rPr>
          <w:rFonts w:ascii="Times New Roman" w:hAnsi="Times New Roman"/>
          <w:i/>
          <w:iCs/>
          <w:sz w:val="20"/>
          <w:szCs w:val="20"/>
          <w:lang w:val="bs-Latn-BA"/>
        </w:rPr>
        <w:t>, broj: 02/19</w:t>
      </w:r>
    </w:p>
    <w:p w:rsidR="004746F9" w:rsidRPr="00104F88" w:rsidRDefault="004746F9" w:rsidP="004746F9">
      <w:pPr>
        <w:jc w:val="both"/>
        <w:rPr>
          <w:rFonts w:ascii="Times New Roman" w:hAnsi="Times New Roman"/>
          <w:iCs/>
          <w:sz w:val="20"/>
          <w:lang w:val="bs-Latn-BA"/>
        </w:rPr>
      </w:pPr>
      <w:r w:rsidRPr="00104F88">
        <w:rPr>
          <w:rFonts w:ascii="Times New Roman" w:hAnsi="Times New Roman"/>
          <w:b/>
          <w:iCs/>
          <w:lang w:val="bs-Latn-BA"/>
        </w:rPr>
        <w:t>Uporedna tabela neto plaća u Federaciji BiH i Unsko-sanskom kantonu</w:t>
      </w:r>
    </w:p>
    <w:tbl>
      <w:tblPr>
        <w:tblW w:w="5592" w:type="dxa"/>
        <w:jc w:val="center"/>
        <w:tblLayout w:type="fixed"/>
        <w:tblLook w:val="0000" w:firstRow="0" w:lastRow="0" w:firstColumn="0" w:lastColumn="0" w:noHBand="0" w:noVBand="0"/>
      </w:tblPr>
      <w:tblGrid>
        <w:gridCol w:w="2761"/>
        <w:gridCol w:w="1079"/>
        <w:gridCol w:w="766"/>
        <w:gridCol w:w="986"/>
      </w:tblGrid>
      <w:tr w:rsidR="00407D27" w:rsidRPr="00AA4B8A" w:rsidTr="00407D27">
        <w:trPr>
          <w:trHeight w:val="255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AA4B8A" w:rsidRDefault="00407D27" w:rsidP="001F778B">
            <w:pPr>
              <w:jc w:val="both"/>
              <w:rPr>
                <w:rFonts w:ascii="Times New Roman" w:hAnsi="Times New Roman"/>
                <w:sz w:val="20"/>
              </w:rPr>
            </w:pPr>
            <w:r w:rsidRPr="00AA4B8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005346" w:rsidRDefault="00407D27" w:rsidP="00407D27">
            <w:pPr>
              <w:rPr>
                <w:rFonts w:ascii="Times New Roman" w:hAnsi="Times New Roman"/>
                <w:sz w:val="18"/>
              </w:rPr>
            </w:pPr>
            <w:r w:rsidRPr="00005346">
              <w:rPr>
                <w:rFonts w:ascii="Times New Roman" w:hAnsi="Times New Roman"/>
                <w:sz w:val="18"/>
              </w:rPr>
              <w:t xml:space="preserve">    </w:t>
            </w:r>
            <w:r w:rsidR="00005346" w:rsidRPr="00005346">
              <w:rPr>
                <w:rFonts w:ascii="Times New Roman" w:hAnsi="Times New Roman"/>
                <w:sz w:val="18"/>
              </w:rPr>
              <w:t>ø</w:t>
            </w:r>
            <w:r w:rsidRPr="00005346">
              <w:rPr>
                <w:rFonts w:ascii="Times New Roman" w:hAnsi="Times New Roman"/>
                <w:sz w:val="18"/>
              </w:rPr>
              <w:t xml:space="preserve"> 201</w:t>
            </w:r>
            <w:r w:rsidR="00B14E3C" w:rsidRPr="00005346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005346" w:rsidRDefault="00407D27" w:rsidP="00407D27">
            <w:pPr>
              <w:jc w:val="center"/>
              <w:rPr>
                <w:rFonts w:ascii="Times New Roman" w:hAnsi="Times New Roman"/>
                <w:sz w:val="18"/>
              </w:rPr>
            </w:pPr>
            <w:r w:rsidRPr="00005346">
              <w:rPr>
                <w:rFonts w:ascii="Times New Roman" w:hAnsi="Times New Roman"/>
                <w:sz w:val="18"/>
              </w:rPr>
              <w:t>I 201</w:t>
            </w:r>
            <w:r w:rsidR="006D381F" w:rsidRPr="00005346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005346" w:rsidRDefault="00407D27" w:rsidP="00407D27">
            <w:pPr>
              <w:jc w:val="center"/>
              <w:rPr>
                <w:rFonts w:ascii="Times New Roman" w:hAnsi="Times New Roman"/>
                <w:sz w:val="18"/>
              </w:rPr>
            </w:pPr>
            <w:r w:rsidRPr="00005346">
              <w:rPr>
                <w:rFonts w:ascii="Times New Roman" w:hAnsi="Times New Roman"/>
                <w:sz w:val="18"/>
              </w:rPr>
              <w:t>II 201</w:t>
            </w:r>
            <w:r w:rsidR="006D381F" w:rsidRPr="00005346">
              <w:rPr>
                <w:rFonts w:ascii="Times New Roman" w:hAnsi="Times New Roman"/>
                <w:sz w:val="18"/>
              </w:rPr>
              <w:t>9</w:t>
            </w:r>
            <w:r w:rsidRPr="00005346">
              <w:rPr>
                <w:rFonts w:ascii="Times New Roman" w:hAnsi="Times New Roman"/>
                <w:sz w:val="18"/>
              </w:rPr>
              <w:t>.</w:t>
            </w:r>
          </w:p>
        </w:tc>
      </w:tr>
      <w:tr w:rsidR="00407D27" w:rsidRPr="00AA4B8A" w:rsidTr="00407D27">
        <w:trPr>
          <w:trHeight w:val="510"/>
          <w:jc w:val="center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AA4B8A" w:rsidRDefault="00407D27" w:rsidP="001F778B">
            <w:pPr>
              <w:rPr>
                <w:rFonts w:ascii="Times New Roman" w:hAnsi="Times New Roman"/>
                <w:sz w:val="20"/>
                <w:lang w:val="pl-PL"/>
              </w:rPr>
            </w:pPr>
            <w:r w:rsidRPr="00AA4B8A">
              <w:rPr>
                <w:rFonts w:ascii="Times New Roman" w:hAnsi="Times New Roman"/>
                <w:sz w:val="20"/>
                <w:lang w:val="pl-PL"/>
              </w:rPr>
              <w:t>Prosječna neto plaća u FBiH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AA4B8A" w:rsidRDefault="0065763D" w:rsidP="00407D27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B14E3C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AA4B8A" w:rsidRDefault="00B14E3C" w:rsidP="001F778B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924</w:t>
            </w:r>
            <w:r w:rsidR="0065763D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AA4B8A" w:rsidRDefault="0065763D" w:rsidP="00407D27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B14E3C">
              <w:rPr>
                <w:rFonts w:ascii="Times New Roman" w:hAnsi="Times New Roman"/>
                <w:sz w:val="20"/>
              </w:rPr>
              <w:t>95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407D27" w:rsidRPr="00AA4B8A" w:rsidTr="00407D27">
        <w:trPr>
          <w:trHeight w:val="510"/>
          <w:jc w:val="center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DC06D7" w:rsidRDefault="00407D27" w:rsidP="001F778B">
            <w:pPr>
              <w:rPr>
                <w:rFonts w:ascii="Times New Roman" w:hAnsi="Times New Roman"/>
                <w:b/>
                <w:sz w:val="20"/>
                <w:lang w:val="pl-PL"/>
              </w:rPr>
            </w:pPr>
            <w:r w:rsidRPr="00DC06D7">
              <w:rPr>
                <w:rFonts w:ascii="Times New Roman" w:hAnsi="Times New Roman"/>
                <w:b/>
                <w:sz w:val="20"/>
                <w:lang w:val="pl-PL"/>
              </w:rPr>
              <w:t>Prosječna neto plaća u USK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DC06D7" w:rsidRDefault="0065763D" w:rsidP="001F778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 w:rsidR="00B14E3C">
              <w:rPr>
                <w:rFonts w:ascii="Times New Roman" w:hAnsi="Times New Roman"/>
                <w:b/>
                <w:sz w:val="20"/>
              </w:rPr>
              <w:t>35</w:t>
            </w:r>
            <w:r>
              <w:rPr>
                <w:rFonts w:ascii="Times New Roman" w:hAnsi="Times New Roman"/>
                <w:b/>
                <w:sz w:val="20"/>
              </w:rPr>
              <w:t>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DC06D7" w:rsidRDefault="0065763D" w:rsidP="001F778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 w:rsidR="00B14E3C">
              <w:rPr>
                <w:rFonts w:ascii="Times New Roman" w:hAnsi="Times New Roman"/>
                <w:b/>
                <w:sz w:val="20"/>
              </w:rPr>
              <w:t>58</w:t>
            </w:r>
            <w:r>
              <w:rPr>
                <w:rFonts w:ascii="Times New Roman" w:hAnsi="Times New Roman"/>
                <w:b/>
                <w:sz w:val="20"/>
              </w:rPr>
              <w:t>,00</w:t>
            </w:r>
            <w:r w:rsidR="00407D27" w:rsidRPr="00DC06D7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27" w:rsidRPr="00DC06D7" w:rsidRDefault="0065763D" w:rsidP="001F778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 w:rsidR="00B14E3C">
              <w:rPr>
                <w:rFonts w:ascii="Times New Roman" w:hAnsi="Times New Roman"/>
                <w:b/>
                <w:sz w:val="20"/>
              </w:rPr>
              <w:t>41</w:t>
            </w:r>
            <w:r>
              <w:rPr>
                <w:rFonts w:ascii="Times New Roman" w:hAnsi="Times New Roman"/>
                <w:b/>
                <w:sz w:val="20"/>
              </w:rPr>
              <w:t>,00</w:t>
            </w:r>
          </w:p>
        </w:tc>
      </w:tr>
    </w:tbl>
    <w:p w:rsidR="00F50423" w:rsidRDefault="00F50423" w:rsidP="00F50423">
      <w:pPr>
        <w:jc w:val="both"/>
        <w:rPr>
          <w:rFonts w:ascii="Times New Roman" w:hAnsi="Times New Roman"/>
          <w:i/>
          <w:sz w:val="20"/>
          <w:lang w:val="bs-Latn-BA"/>
        </w:rPr>
      </w:pPr>
      <w:r w:rsidRPr="00624E13">
        <w:rPr>
          <w:rFonts w:ascii="Times New Roman" w:hAnsi="Times New Roman"/>
          <w:i/>
          <w:sz w:val="20"/>
          <w:lang w:val="bs-Latn-BA"/>
        </w:rPr>
        <w:t xml:space="preserve">Izvor podataka: Mjesećni statistički pregled u FBiH i po kantonima </w:t>
      </w:r>
      <w:r w:rsidR="00F23607">
        <w:rPr>
          <w:rFonts w:ascii="Times New Roman" w:hAnsi="Times New Roman"/>
          <w:i/>
          <w:sz w:val="20"/>
          <w:lang w:val="bs-Latn-BA"/>
        </w:rPr>
        <w:t>:</w:t>
      </w:r>
      <w:r>
        <w:rPr>
          <w:rFonts w:ascii="Times New Roman" w:hAnsi="Times New Roman"/>
          <w:i/>
          <w:sz w:val="20"/>
          <w:lang w:val="bs-Latn-BA"/>
        </w:rPr>
        <w:t>4</w:t>
      </w:r>
      <w:r w:rsidRPr="00624E13">
        <w:rPr>
          <w:rFonts w:ascii="Times New Roman" w:hAnsi="Times New Roman"/>
          <w:i/>
          <w:sz w:val="20"/>
          <w:lang w:val="bs-Latn-BA"/>
        </w:rPr>
        <w:t>/1</w:t>
      </w:r>
      <w:r>
        <w:rPr>
          <w:rFonts w:ascii="Times New Roman" w:hAnsi="Times New Roman"/>
          <w:i/>
          <w:sz w:val="20"/>
          <w:lang w:val="bs-Latn-BA"/>
        </w:rPr>
        <w:t>9</w:t>
      </w:r>
    </w:p>
    <w:p w:rsidR="009E4D49" w:rsidRDefault="009E4D49" w:rsidP="009E4D4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4D49">
        <w:rPr>
          <w:rFonts w:ascii="Times New Roman" w:hAnsi="Times New Roman"/>
          <w:sz w:val="24"/>
          <w:szCs w:val="24"/>
        </w:rPr>
        <w:lastRenderedPageBreak/>
        <w:t>Prosječna mjesečna isplaćena neto plaća po zaposlenom za februar 2019. godine u Federaciji BiH iznosi 895,0 KM i nominalno je niža za 3,1%, a realno za 3,4%, u odnosu na prethodni mjesec. U odnosu na isti mjesec prethodne godine prosječna mjesečna isplaćena neto plaća po zaposlenom za februar 2019. godine nominalno je viša za 5,0%, a realno za 4,0%. Prosječna mjesečna isplaćena bruto plaća po zaposlenom za februar 2019. godine u Federaciji BiH iznosi 1.372,0 KM i nominalno je niža za 3,5% i realno za 3,7%, u odnosu na prethodni mjesec. U odnosu na isti mjesec prethodne godine prosječna mjesečna isplaćena bruto plaća po zaposlenom za februar 2019. godine nominalno je viša za 5,1%, a realno za 4,0%.</w:t>
      </w:r>
      <w:r w:rsidRPr="009E4D49">
        <w:rPr>
          <w:rStyle w:val="FootnoteReference"/>
          <w:rFonts w:ascii="Times New Roman" w:hAnsi="Times New Roman"/>
          <w:sz w:val="24"/>
          <w:szCs w:val="24"/>
        </w:rPr>
        <w:footnoteReference w:id="5"/>
      </w:r>
    </w:p>
    <w:p w:rsidR="00F23607" w:rsidRPr="009E4D49" w:rsidRDefault="00F23607" w:rsidP="009E4D4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Prosjećna neto plaća po zaposlenom u Unsko-sanskom kantonu za februar 2019. godine iznosi  841,00KM i za 2% je manja u odnosu na januar 2019. godine.</w:t>
      </w:r>
    </w:p>
    <w:p w:rsidR="004746F9" w:rsidRPr="00383ED4" w:rsidRDefault="00F50423" w:rsidP="00383ED4">
      <w:pPr>
        <w:rPr>
          <w:rFonts w:ascii="Times New Roman" w:hAnsi="Times New Roman"/>
          <w:b/>
        </w:rPr>
      </w:pPr>
      <w:r w:rsidRPr="00383ED4">
        <w:rPr>
          <w:rFonts w:ascii="Times New Roman" w:hAnsi="Times New Roman"/>
          <w:b/>
          <w:sz w:val="24"/>
        </w:rPr>
        <w:t>Rizici za projecirane makroekonomske pokazatelje</w:t>
      </w:r>
      <w:r w:rsidR="004746F9" w:rsidRPr="00383ED4">
        <w:rPr>
          <w:rFonts w:ascii="Times New Roman" w:hAnsi="Times New Roman"/>
          <w:b/>
        </w:rPr>
        <w:tab/>
      </w:r>
      <w:r w:rsidR="004746F9" w:rsidRPr="00383ED4">
        <w:rPr>
          <w:rFonts w:ascii="Times New Roman" w:hAnsi="Times New Roman"/>
          <w:b/>
        </w:rPr>
        <w:tab/>
      </w:r>
      <w:r w:rsidR="00205570" w:rsidRPr="00383ED4">
        <w:rPr>
          <w:rFonts w:ascii="Times New Roman" w:hAnsi="Times New Roman"/>
          <w:b/>
        </w:rPr>
        <w:t xml:space="preserve">       </w:t>
      </w:r>
    </w:p>
    <w:p w:rsidR="00557BEB" w:rsidRDefault="002661DF" w:rsidP="00F5042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5586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Uzimajući</w:t>
      </w:r>
      <w:r w:rsidRPr="002661D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661DF">
        <w:rPr>
          <w:rFonts w:ascii="Times New Roman" w:hAnsi="Times New Roman"/>
          <w:sz w:val="24"/>
          <w:szCs w:val="24"/>
        </w:rPr>
        <w:t xml:space="preserve">u obzir da vanjsko okruženje predstavlja glavnu strukturnu odrednicu većine ekonomskih kretanja u BiH, odnosno u FBiH, ono isto tako predstavlja i potencijalni izvor rizika po domaća ekonomska kretanja. </w:t>
      </w:r>
    </w:p>
    <w:p w:rsidR="002661DF" w:rsidRPr="00557BEB" w:rsidRDefault="002661DF" w:rsidP="00557BE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7BEB">
        <w:rPr>
          <w:rFonts w:ascii="Times New Roman" w:hAnsi="Times New Roman"/>
          <w:sz w:val="24"/>
          <w:szCs w:val="24"/>
        </w:rPr>
        <w:t>Eskalacija globalnih izazova kao što su trgovinski ratovi, pregrijavanje američke ekonomije, slabljenje rasta u Aziji, kao i pitanja Brexit-a zasigurno bi se odrazila na ekonomski rast u EU u vidu usporavanja, odnosno slabljenja istog. To bi u konačnici rezultiralo slabljenjem izvozne tražnje, odnosno usporavanjem prosječne stope rasta robnog izvoza, te bi imalo negativan uticaj na priliv kapitala, posebno uzevši u obzir da zemlje EU predstavljaju ključni izvor za eksterno finansiranje u BiH. Pored navedenog, kretanja svjetskih cijena, posebno nafte i u određenoj mjeri metala, mogli bi imati negativan uticaj na domaća ekonomska kretanja.</w:t>
      </w:r>
    </w:p>
    <w:p w:rsidR="00557BEB" w:rsidRDefault="002661DF" w:rsidP="002661D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661DF">
        <w:rPr>
          <w:rFonts w:ascii="Times New Roman" w:hAnsi="Times New Roman"/>
          <w:sz w:val="24"/>
          <w:szCs w:val="24"/>
        </w:rPr>
        <w:t xml:space="preserve">Pored eksternih, potencijalni rizik za ostvarivanje makroekonomskih projekcija predstavljaju i rizici internih dinamika. </w:t>
      </w:r>
    </w:p>
    <w:p w:rsidR="00557BEB" w:rsidRDefault="002661DF" w:rsidP="00557BE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7BEB">
        <w:rPr>
          <w:rFonts w:ascii="Times New Roman" w:hAnsi="Times New Roman"/>
          <w:sz w:val="24"/>
          <w:szCs w:val="24"/>
        </w:rPr>
        <w:t xml:space="preserve">Osnovni interni rizik koji bi mogao imati negativan uticaj na ekonomski rast  vezan je za proces formiranja vlasti i nastavak reformskih procesa. Eventualna kašnjenja u procesu provedbe ekonomskih reformi bi se odrazila na kretanje finalne potrošnje i investicija, što bi dovelo do usporavanja rasta. </w:t>
      </w:r>
    </w:p>
    <w:p w:rsidR="00383ED4" w:rsidRDefault="002661DF" w:rsidP="002661D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7BEB">
        <w:rPr>
          <w:rFonts w:ascii="Times New Roman" w:hAnsi="Times New Roman"/>
          <w:sz w:val="24"/>
          <w:szCs w:val="24"/>
        </w:rPr>
        <w:t>Rizik u srednjem roku predstavlja i migracija stanovništva, koja prijeti smanjenju produktivnosti, a samim time i projiciranom ekonomskom rastu.</w:t>
      </w:r>
      <w:r w:rsidR="00383ED4">
        <w:rPr>
          <w:rFonts w:ascii="Times New Roman" w:hAnsi="Times New Roman"/>
          <w:sz w:val="24"/>
          <w:szCs w:val="24"/>
        </w:rPr>
        <w:t xml:space="preserve"> </w:t>
      </w:r>
    </w:p>
    <w:p w:rsidR="00335C69" w:rsidRDefault="002661DF" w:rsidP="002661D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7BEB">
        <w:rPr>
          <w:rFonts w:ascii="Times New Roman" w:hAnsi="Times New Roman"/>
          <w:sz w:val="24"/>
          <w:szCs w:val="24"/>
        </w:rPr>
        <w:t>Eventualno slabljenje poslovne aktivnosti u međunarodnom ekonomskom okruženju imalo bi uticaj na ukupnu poslovnu aktivnost u zemlji, a time i na industrijsku proizvodnju. Osim toga, dotrajalost postojećih i usporena dinamika u izgradnji novih proizvodnih kapaciteta, kao i visoka ovisnost o vremenskim prilikama predstavljaju potencijalni rizik kada je u pitanju sektor za proizvodnju električne energije.</w:t>
      </w:r>
      <w:r w:rsidRPr="00557BEB">
        <w:rPr>
          <w:rFonts w:ascii="Arial" w:hAnsi="Arial" w:cs="Arial"/>
          <w:sz w:val="24"/>
          <w:szCs w:val="24"/>
        </w:rPr>
        <w:t xml:space="preserve"> </w:t>
      </w:r>
      <w:r w:rsidRPr="00557BEB">
        <w:rPr>
          <w:rFonts w:ascii="Times New Roman" w:hAnsi="Times New Roman"/>
          <w:sz w:val="24"/>
          <w:szCs w:val="24"/>
        </w:rPr>
        <w:t xml:space="preserve">Najveći rizik po pozitivne promjene na tržištu rada predstavljaju dešavanja u segmentu </w:t>
      </w:r>
      <w:r w:rsidRPr="00557BEB">
        <w:rPr>
          <w:rFonts w:ascii="Times New Roman" w:hAnsi="Times New Roman"/>
          <w:sz w:val="24"/>
          <w:szCs w:val="24"/>
        </w:rPr>
        <w:lastRenderedPageBreak/>
        <w:t xml:space="preserve">industrijske proizvodnje, investicija i vanjske trgovine, kao i eventualni zastoj u provedbi planiranih strukturnih reformi. </w:t>
      </w:r>
    </w:p>
    <w:p w:rsidR="002661DF" w:rsidRPr="00335C69" w:rsidRDefault="002661DF" w:rsidP="002661D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35C69">
        <w:rPr>
          <w:rFonts w:ascii="Times New Roman" w:hAnsi="Times New Roman"/>
          <w:sz w:val="24"/>
          <w:szCs w:val="24"/>
        </w:rPr>
        <w:t>Na kretanje ukupnog nivoa cijena uticaj bi mogli imati interni (promjene cijena komunalija, povećanje akciza), kao i eksterni faktori (primarno kretanje cijena sirove nafte i hrane), te bi svako povećanje cijena koje je brže od pretpostavljenog u osnovnom scenariju moglo uvećati nivo inflacije.</w:t>
      </w:r>
    </w:p>
    <w:p w:rsidR="004746F9" w:rsidRDefault="004746F9" w:rsidP="004746F9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746F9" w:rsidRPr="00F475EB" w:rsidRDefault="004746F9" w:rsidP="005E080D">
      <w:pPr>
        <w:pStyle w:val="Heading1"/>
        <w:rPr>
          <w:rFonts w:ascii="Times New Roman" w:hAnsi="Times New Roman"/>
          <w:sz w:val="28"/>
        </w:rPr>
      </w:pPr>
      <w:bookmarkStart w:id="7" w:name="_Toc9858434"/>
      <w:r w:rsidRPr="00F475EB">
        <w:rPr>
          <w:rFonts w:ascii="Times New Roman" w:hAnsi="Times New Roman"/>
          <w:sz w:val="28"/>
        </w:rPr>
        <w:t xml:space="preserve">3. OSNOVNI POKAZATELJI EKONOMSKE I FISKALNE POLITIKE </w:t>
      </w:r>
      <w:r w:rsidR="00335C69" w:rsidRPr="00F475EB">
        <w:rPr>
          <w:rFonts w:ascii="Times New Roman" w:hAnsi="Times New Roman"/>
          <w:sz w:val="28"/>
        </w:rPr>
        <w:t xml:space="preserve">FBiH i </w:t>
      </w:r>
      <w:r w:rsidRPr="00F475EB">
        <w:rPr>
          <w:rFonts w:ascii="Times New Roman" w:hAnsi="Times New Roman"/>
          <w:sz w:val="28"/>
        </w:rPr>
        <w:t>UNS</w:t>
      </w:r>
      <w:r w:rsidR="00100500" w:rsidRPr="00F475EB">
        <w:rPr>
          <w:rFonts w:ascii="Times New Roman" w:hAnsi="Times New Roman"/>
          <w:sz w:val="28"/>
        </w:rPr>
        <w:t>K</w:t>
      </w:r>
      <w:r w:rsidRPr="00F475EB">
        <w:rPr>
          <w:rFonts w:ascii="Times New Roman" w:hAnsi="Times New Roman"/>
          <w:sz w:val="28"/>
        </w:rPr>
        <w:t>O-SANSKOG KANTONA</w:t>
      </w:r>
      <w:bookmarkEnd w:id="7"/>
    </w:p>
    <w:p w:rsidR="00C742B1" w:rsidRDefault="004746F9" w:rsidP="00C742B1">
      <w:pPr>
        <w:ind w:firstLine="708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  <w:r>
        <w:rPr>
          <w:rFonts w:ascii="Times New Roman" w:hAnsi="Times New Roman"/>
          <w:sz w:val="24"/>
          <w:szCs w:val="24"/>
          <w:lang w:val="bs-Latn-BA" w:eastAsia="bs-Latn-BA"/>
        </w:rPr>
        <w:t>Osnovni zadatak fiskalne politike je da se bavi načinom prikupljanja novca u državnu blagajnu i trošenja istog, a sastoji se iz porezne politike i politike javnih rashoda.</w:t>
      </w:r>
      <w:r w:rsidR="00BB3066">
        <w:rPr>
          <w:rFonts w:ascii="Times New Roman" w:hAnsi="Times New Roman"/>
          <w:sz w:val="24"/>
          <w:szCs w:val="24"/>
          <w:lang w:val="bs-Latn-BA" w:eastAsia="bs-Latn-BA"/>
        </w:rPr>
        <w:t xml:space="preserve"> M</w:t>
      </w:r>
      <w:r>
        <w:rPr>
          <w:rFonts w:ascii="Times New Roman" w:hAnsi="Times New Roman"/>
          <w:sz w:val="24"/>
          <w:szCs w:val="24"/>
          <w:lang w:val="bs-Latn-BA" w:eastAsia="bs-Latn-BA"/>
        </w:rPr>
        <w:t>jere fiskalne politike su: javni radovi, projekti javnog zapošljavanja, promjene poreznih stopa, automatski stabilizatori-automatska promjena poreznih prihoda i transferna plaćanja.</w:t>
      </w:r>
    </w:p>
    <w:p w:rsidR="00745E7C" w:rsidRDefault="00C742B1" w:rsidP="00745E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D4B52">
        <w:rPr>
          <w:rFonts w:ascii="Times New Roman" w:hAnsi="Times New Roman"/>
          <w:sz w:val="24"/>
          <w:szCs w:val="24"/>
          <w:lang w:val="bs-Latn-BA"/>
        </w:rPr>
        <w:t>Aktivnosti koje će se  provoditi u  oblasti budžeta i fiskalnog sistema u toku 201</w:t>
      </w:r>
      <w:r w:rsidR="00D50C78">
        <w:rPr>
          <w:rFonts w:ascii="Times New Roman" w:hAnsi="Times New Roman"/>
          <w:sz w:val="24"/>
          <w:szCs w:val="24"/>
          <w:lang w:val="bs-Latn-BA"/>
        </w:rPr>
        <w:t>9</w:t>
      </w:r>
      <w:r w:rsidRPr="006D4B52">
        <w:rPr>
          <w:rFonts w:ascii="Times New Roman" w:hAnsi="Times New Roman"/>
          <w:sz w:val="24"/>
          <w:szCs w:val="24"/>
          <w:lang w:val="bs-Latn-BA"/>
        </w:rPr>
        <w:t>.godine proističu iz odredaba i rješenja sadržanih u dva osnovna zakona, koja regulišu ovu oblast:  Zakon o budžetima u Federaciji Bosne i Hercegovine i Zakon o pripadnosti javnih prihoda u Federaciji Bosne i Hercegovine.</w:t>
      </w:r>
      <w:r w:rsidR="00745E7C" w:rsidRPr="00745E7C">
        <w:rPr>
          <w:rFonts w:ascii="Arial" w:hAnsi="Arial" w:cs="Arial"/>
          <w:sz w:val="24"/>
          <w:szCs w:val="24"/>
        </w:rPr>
        <w:t xml:space="preserve"> </w:t>
      </w:r>
      <w:r w:rsidR="00745E7C" w:rsidRPr="00745E7C">
        <w:rPr>
          <w:rFonts w:ascii="Times New Roman" w:hAnsi="Times New Roman"/>
          <w:sz w:val="24"/>
          <w:szCs w:val="24"/>
        </w:rPr>
        <w:t>Fiskalna politika, usklađena sa mjerama Reformske agende, u 2019. godini i narednom srednjoročnom periodu fokusirana je na podršci makroekomskom rastu, u cilju povećanja fiskalnog prostora politikama koje promovišu dugoročni rast i suzbijaju sivu ekonomiju. Ključne aktivnosti prvenstveno podrazumijevaju djelovanje u pravcu stvaranja povoljnog i stabilnog poslovnog okruženja, atraktivnog za povećan priliv i domaćih i stranih investicija, kao glavnog generatora prognoziranog srednjoročnog makroekonomkog rasta. Provedbu planiranih aktivnosti i dalje prati nastavak reformi u cilju kreiranja stabilnog poreznog sistema i približavanja istog standardima Evropske unije.</w:t>
      </w:r>
    </w:p>
    <w:p w:rsidR="00335C69" w:rsidRDefault="00E90440" w:rsidP="00E9044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0440">
        <w:rPr>
          <w:rFonts w:ascii="Times New Roman" w:hAnsi="Times New Roman"/>
          <w:sz w:val="24"/>
          <w:szCs w:val="24"/>
        </w:rPr>
        <w:t xml:space="preserve">Obzirom da je jedan od ciljeva Reformske agende osiguranje srednjoročne fiskalne održivosti kroz znatno smanjenje opterećenja na rad, isto se može postići smanjenjem ukupne stope doprinosa sa 41,5% na 33,5%, proširenjem porezne osnovice poreza na dohodak zbog sistema plate, te uključivanjem u osnovicu ranije neoporezivih naknada. S ciljem zaštite zaposlenih sa najnižim primanjima u društvu od negativnih posljedica promjene u sistemu doprinosa, predlaže se usvajanje novog zakona o porezu na dohodak i zakona o doprinosima, kako bi se umanjilo porezno opterećenje ove kategorije. </w:t>
      </w:r>
      <w:r w:rsidRPr="00335C69">
        <w:rPr>
          <w:rFonts w:ascii="Times New Roman" w:hAnsi="Times New Roman"/>
          <w:i/>
          <w:sz w:val="24"/>
          <w:szCs w:val="24"/>
        </w:rPr>
        <w:t xml:space="preserve">Posmatrajući prihodovnu stranu, cilj propisa je i osigurati srednjoročnu fiskalnu održivost kantonalnih budžeta, </w:t>
      </w:r>
      <w:r w:rsidRPr="00E90440">
        <w:rPr>
          <w:rFonts w:ascii="Times New Roman" w:hAnsi="Times New Roman"/>
          <w:sz w:val="24"/>
          <w:szCs w:val="24"/>
        </w:rPr>
        <w:t>u koje se prihodi po osnovu poreza na dohodak uplaćuju, a koji će uslijed smanjenja javnih prihoda po osnovu jednog izvora dohotka biti kompenzirani oporezivanjem drugog izvora dohotka (ulaganje kapitala, nagradnih igara i igara na sreću, ostali dohodak). Na taj način, planirane izmjene će imati neutralan efekat na ukupan nivo ostvarenja javnih prihoda po ovoj kategoriji.</w:t>
      </w:r>
      <w:r w:rsidR="00335C69">
        <w:rPr>
          <w:rFonts w:ascii="Times New Roman" w:hAnsi="Times New Roman"/>
          <w:sz w:val="24"/>
          <w:szCs w:val="24"/>
        </w:rPr>
        <w:t xml:space="preserve"> </w:t>
      </w:r>
    </w:p>
    <w:p w:rsidR="00C742B1" w:rsidRDefault="004746F9" w:rsidP="00E90440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bs-Latn-BA" w:eastAsia="bs-Latn-BA"/>
        </w:rPr>
        <w:t>Unsko-sanski kanton kao niži nivo vlasti rijetko može direktno koristiti mjere fiskalne politike u poboljšanju ukupnog fiskalnog stanja samog kantona.</w:t>
      </w:r>
      <w:r w:rsidR="00335C69">
        <w:rPr>
          <w:rFonts w:ascii="Times New Roman" w:hAnsi="Times New Roman"/>
          <w:sz w:val="24"/>
          <w:szCs w:val="24"/>
          <w:lang w:val="bs-Latn-BA" w:eastAsia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 w:eastAsia="bs-Latn-BA"/>
        </w:rPr>
        <w:t xml:space="preserve">Najčešće se to dešava indirektno od viših nivoa vlasti prema nižim. Tako, na primjer Unsko-sanski kanton vrlo rijetko može utjecati na promjenu poreznih stopa jer se one najčešće donose na nivou Federacije za sve kantone. Stoga, potrebno je fiskalni sistem USK-a sagledati u okvirima realnog i mogućeg, a to </w:t>
      </w:r>
      <w:r>
        <w:rPr>
          <w:rFonts w:ascii="Times New Roman" w:hAnsi="Times New Roman"/>
          <w:sz w:val="24"/>
          <w:szCs w:val="24"/>
          <w:lang w:val="bs-Latn-BA" w:eastAsia="bs-Latn-BA"/>
        </w:rPr>
        <w:lastRenderedPageBreak/>
        <w:t xml:space="preserve">podrazumjeva dobro informisanje viših nivoa vlasti o </w:t>
      </w:r>
      <w:r w:rsidRPr="00383ED4">
        <w:rPr>
          <w:rFonts w:ascii="Times New Roman" w:hAnsi="Times New Roman"/>
          <w:i/>
          <w:sz w:val="24"/>
          <w:szCs w:val="24"/>
          <w:lang w:val="bs-Latn-BA" w:eastAsia="bs-Latn-BA"/>
        </w:rPr>
        <w:t xml:space="preserve">sučeljavanju ukupnog prihodovnog potencijala USK-a sa rashodovnim opterećenjima </w:t>
      </w:r>
      <w:r>
        <w:rPr>
          <w:rFonts w:ascii="Times New Roman" w:hAnsi="Times New Roman"/>
          <w:sz w:val="24"/>
          <w:szCs w:val="24"/>
          <w:lang w:val="bs-Latn-BA" w:eastAsia="bs-Latn-BA"/>
        </w:rPr>
        <w:t>ovog nivoa vlasti kako bi viš</w:t>
      </w:r>
      <w:r w:rsidR="00C87E8B">
        <w:rPr>
          <w:rFonts w:ascii="Times New Roman" w:hAnsi="Times New Roman"/>
          <w:sz w:val="24"/>
          <w:szCs w:val="24"/>
          <w:lang w:val="bs-Latn-BA" w:eastAsia="bs-Latn-BA"/>
        </w:rPr>
        <w:t>i</w:t>
      </w:r>
      <w:r>
        <w:rPr>
          <w:rFonts w:ascii="Times New Roman" w:hAnsi="Times New Roman"/>
          <w:sz w:val="24"/>
          <w:szCs w:val="24"/>
          <w:lang w:val="bs-Latn-BA" w:eastAsia="bs-Latn-BA"/>
        </w:rPr>
        <w:t xml:space="preserve"> nivoi vlasti imali realnu sliku cjelokupnog stanja i mogli poduzeti mjere fiskalne politike.</w:t>
      </w:r>
      <w:r w:rsidRPr="003C121C">
        <w:rPr>
          <w:rFonts w:ascii="Times New Roman" w:hAnsi="Times New Roman"/>
          <w:sz w:val="24"/>
          <w:szCs w:val="24"/>
        </w:rPr>
        <w:t xml:space="preserve"> </w:t>
      </w:r>
      <w:r w:rsidRPr="00DF3823">
        <w:rPr>
          <w:rFonts w:ascii="Times New Roman" w:hAnsi="Times New Roman"/>
          <w:sz w:val="24"/>
          <w:szCs w:val="24"/>
        </w:rPr>
        <w:t>Fiskalna politika temeljit će se u narednom razdoblju na dva načela. S jedne strane, nužna je brza fiskalna konsolidacija s obzirom na rastući javni dug i trošak njegovog financiranja i to u uvjetima negativne ekonomske aktivnosti. S druge strane, nužno je i pokretanje održivog ekonomskog rasta nakon duboke, višegodišnje recesije.</w:t>
      </w:r>
      <w:r w:rsidRPr="00DF3823">
        <w:rPr>
          <w:rFonts w:ascii="Times New Roman" w:hAnsi="Times New Roman"/>
          <w:sz w:val="24"/>
          <w:szCs w:val="24"/>
          <w:lang w:val="hr-HR"/>
        </w:rPr>
        <w:t>Imajući u vidu činjenicu teškog finansijskog stanja u zemlji i regionu, procjena je da ni Budžet Unsko-sanskog kantona neće biti pošteđen finansijskih oscilacija u toku 201</w:t>
      </w:r>
      <w:r w:rsidR="00E90440">
        <w:rPr>
          <w:rFonts w:ascii="Times New Roman" w:hAnsi="Times New Roman"/>
          <w:sz w:val="24"/>
          <w:szCs w:val="24"/>
          <w:lang w:val="hr-HR"/>
        </w:rPr>
        <w:t>9</w:t>
      </w:r>
      <w:r w:rsidRPr="00DF3823">
        <w:rPr>
          <w:rFonts w:ascii="Times New Roman" w:hAnsi="Times New Roman"/>
          <w:sz w:val="24"/>
          <w:szCs w:val="24"/>
          <w:lang w:val="hr-HR"/>
        </w:rPr>
        <w:t>. godine.</w:t>
      </w:r>
      <w:r w:rsidR="00C87E8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F3823">
        <w:rPr>
          <w:rFonts w:ascii="Times New Roman" w:hAnsi="Times New Roman"/>
          <w:sz w:val="24"/>
          <w:szCs w:val="24"/>
          <w:lang w:val="hr-HR"/>
        </w:rPr>
        <w:t>Naime, osnovni problem Budžeta Unsko-sanskog  kantona za 201</w:t>
      </w:r>
      <w:r w:rsidR="00E90440">
        <w:rPr>
          <w:rFonts w:ascii="Times New Roman" w:hAnsi="Times New Roman"/>
          <w:sz w:val="24"/>
          <w:szCs w:val="24"/>
          <w:lang w:val="hr-HR"/>
        </w:rPr>
        <w:t>9</w:t>
      </w:r>
      <w:r w:rsidRPr="00DF3823">
        <w:rPr>
          <w:rFonts w:ascii="Times New Roman" w:hAnsi="Times New Roman"/>
          <w:sz w:val="24"/>
          <w:szCs w:val="24"/>
          <w:lang w:val="hr-HR"/>
        </w:rPr>
        <w:t>. godinu, isto kao i za prethodnu 201</w:t>
      </w:r>
      <w:r w:rsidR="00E90440">
        <w:rPr>
          <w:rFonts w:ascii="Times New Roman" w:hAnsi="Times New Roman"/>
          <w:sz w:val="24"/>
          <w:szCs w:val="24"/>
          <w:lang w:val="hr-HR"/>
        </w:rPr>
        <w:t>8</w:t>
      </w:r>
      <w:r w:rsidRPr="00DF3823">
        <w:rPr>
          <w:rFonts w:ascii="Times New Roman" w:hAnsi="Times New Roman"/>
          <w:sz w:val="24"/>
          <w:szCs w:val="24"/>
          <w:lang w:val="hr-HR"/>
        </w:rPr>
        <w:t>.godinu, čini pitanje davanja prijedloga za pokriće deficita, koji mora biti predložen za rješavanje u periodu narednih pet godina, u skladu sa odredbama Zakona o budžetima u Federaciji BiH.</w:t>
      </w:r>
    </w:p>
    <w:p w:rsidR="00C742B1" w:rsidRPr="00C30181" w:rsidRDefault="00C742B1" w:rsidP="00C742B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30181">
        <w:rPr>
          <w:rFonts w:ascii="Times New Roman" w:hAnsi="Times New Roman"/>
          <w:sz w:val="24"/>
          <w:szCs w:val="24"/>
        </w:rPr>
        <w:t>Mjere unapređenja i modernizacije budžetskih procesa nije moguće u potpunosti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0181">
        <w:rPr>
          <w:rFonts w:ascii="Times New Roman" w:hAnsi="Times New Roman"/>
          <w:sz w:val="24"/>
          <w:szCs w:val="24"/>
        </w:rPr>
        <w:t xml:space="preserve">provesti bez podrške informacijskog </w:t>
      </w:r>
      <w:r w:rsidR="00383ED4">
        <w:rPr>
          <w:rFonts w:ascii="Times New Roman" w:hAnsi="Times New Roman"/>
          <w:sz w:val="24"/>
          <w:szCs w:val="24"/>
        </w:rPr>
        <w:t>sistema</w:t>
      </w:r>
      <w:r w:rsidRPr="00C30181">
        <w:rPr>
          <w:rFonts w:ascii="Times New Roman" w:hAnsi="Times New Roman"/>
          <w:sz w:val="24"/>
          <w:szCs w:val="24"/>
        </w:rPr>
        <w:t xml:space="preserve">. Upravo iz tog razloga paralelno su se uvodile promjene, kako u metodologiji budžetskih procesa, tako i unutar informacijskog sistema. </w:t>
      </w:r>
    </w:p>
    <w:p w:rsidR="00C742B1" w:rsidRDefault="00C742B1" w:rsidP="00C742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30181">
        <w:rPr>
          <w:rFonts w:ascii="Times New Roman" w:hAnsi="Times New Roman"/>
          <w:sz w:val="24"/>
          <w:szCs w:val="24"/>
        </w:rPr>
        <w:t>Pored implementacije informatičkog sistema trezora potrebno je uvesti informacijski sistem za pl</w:t>
      </w:r>
      <w:r>
        <w:rPr>
          <w:rFonts w:ascii="Times New Roman" w:hAnsi="Times New Roman"/>
          <w:sz w:val="24"/>
          <w:szCs w:val="24"/>
        </w:rPr>
        <w:t xml:space="preserve">aniranje i upravljane budžetom </w:t>
      </w:r>
      <w:r w:rsidRPr="00C30181">
        <w:rPr>
          <w:rFonts w:ascii="Times New Roman" w:hAnsi="Times New Roman"/>
          <w:sz w:val="24"/>
          <w:szCs w:val="24"/>
        </w:rPr>
        <w:t>na kantonalnoj razini, koji je već imp</w:t>
      </w:r>
      <w:r>
        <w:rPr>
          <w:rFonts w:ascii="Times New Roman" w:hAnsi="Times New Roman"/>
          <w:sz w:val="24"/>
          <w:szCs w:val="24"/>
        </w:rPr>
        <w:t>l</w:t>
      </w:r>
      <w:r w:rsidRPr="00C30181">
        <w:rPr>
          <w:rFonts w:ascii="Times New Roman" w:hAnsi="Times New Roman"/>
          <w:sz w:val="24"/>
          <w:szCs w:val="24"/>
        </w:rPr>
        <w:t>ementiran na nivou države i entiteta.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42B1" w:rsidRDefault="00C742B1" w:rsidP="00C742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Formiranjem implementacionog tima</w:t>
      </w:r>
      <w:r w:rsidR="00B03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nivou Federacije BiH (u sastavu kojeg su i predstavnici ministarstva finansija Unsko-sanskog kantona), od 09.03.2017. godine, započeo je proces o nabavci i implementaciji BPMIS-a (informacijski sistem upravljanja budžetskim procesom), za sve kantone u Federaciji Bosne i Hercegovine. Cilj uvođenja BPIMS-a, se ogleda u povećanju učinkovitosti planiranja i upravljanja budžetom u skladu sa najboljim europskim praksama. Implementacija</w:t>
      </w:r>
      <w:r w:rsidR="00383E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BPIMS-a, predstavlja rješenje koje smanjuje troškove upravljanja i koordiniranja operacijama vladinih finansija i istovremeno podržava proces donošenja odluka u planiranju i alokaciji resursa i upravljanju javnim sredstvima. U planu je da se sve aktivnosti vezane za implementaciju (usvajanje radnog plana, usvajanje dizajna i funkcionalnih zahtjeva sistema, usvajanje testnog plana, predaja konačnog softverskog rješenja, pomoć i mentorstvo tokom implementacije projekta) završe, kako bih se  omogućilo da se proces izrade budžeta za 20</w:t>
      </w:r>
      <w:r w:rsidR="00C87E8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 godinu radi na novom softveru (E-bud</w:t>
      </w:r>
      <w:r w:rsidR="00B03F88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et).</w:t>
      </w:r>
      <w:r w:rsidRPr="00C30181">
        <w:rPr>
          <w:rFonts w:ascii="Times New Roman" w:hAnsi="Times New Roman"/>
          <w:sz w:val="24"/>
          <w:szCs w:val="24"/>
        </w:rPr>
        <w:t xml:space="preserve"> Uz navedeno, treba unapr</w:t>
      </w:r>
      <w:r>
        <w:rPr>
          <w:rFonts w:ascii="Times New Roman" w:hAnsi="Times New Roman"/>
          <w:sz w:val="24"/>
          <w:szCs w:val="24"/>
        </w:rPr>
        <w:t>j</w:t>
      </w:r>
      <w:r w:rsidRPr="00C30181">
        <w:rPr>
          <w:rFonts w:ascii="Times New Roman" w:hAnsi="Times New Roman"/>
          <w:sz w:val="24"/>
          <w:szCs w:val="24"/>
        </w:rPr>
        <w:t>editi i druge aplikacije, primjerice za podršku izradi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0181">
        <w:rPr>
          <w:rFonts w:ascii="Times New Roman" w:hAnsi="Times New Roman"/>
          <w:sz w:val="24"/>
          <w:szCs w:val="24"/>
        </w:rPr>
        <w:t>fiskalnog učinka zakona i drugih propisa te primjene budžetskih klasifikacija u procesu pripreme i izvršavanja budžeta. Iste trebaju biti povezane s informacijskim sistemom trezora.</w:t>
      </w:r>
    </w:p>
    <w:p w:rsidR="00CC664B" w:rsidRPr="00F475EB" w:rsidRDefault="00C742B1" w:rsidP="00F475E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431B5">
        <w:rPr>
          <w:rFonts w:ascii="Times New Roman" w:hAnsi="Times New Roman"/>
          <w:color w:val="000000"/>
          <w:sz w:val="24"/>
          <w:szCs w:val="24"/>
        </w:rPr>
        <w:t>Zakonom o budžetima u FBiH članovima od 42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431B5">
        <w:rPr>
          <w:rFonts w:ascii="Times New Roman" w:hAnsi="Times New Roman"/>
          <w:color w:val="000000"/>
          <w:sz w:val="24"/>
          <w:szCs w:val="24"/>
        </w:rPr>
        <w:t xml:space="preserve"> do 45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431B5">
        <w:rPr>
          <w:rFonts w:ascii="Times New Roman" w:hAnsi="Times New Roman"/>
          <w:color w:val="000000"/>
          <w:sz w:val="24"/>
          <w:szCs w:val="24"/>
        </w:rPr>
        <w:t xml:space="preserve"> utvrđena su fiskalna pravila i pravila za jačanje fiskalne discipline koja detaljno definiraju pravila odgovornog fiskalnog ponašanja na svim razinama vlasti. Ključno je u definiranju fiskalnih pravila da ona trebaju biti vjerodostojna kako bi se njihovom primjenom ostvarile zahtijevane fiskalne prilagodbe i doveo javni dug na održivu razinu. Uz fiskalna pravila, Zakon sadrži i druga pravila vezana uz procjenu fiskalnog učinka, stvaranje obveza iznad iznosa utvrđenog budžetom i uvođenje prethodnih kontrola u proces izvršavanja </w:t>
      </w:r>
      <w:r>
        <w:rPr>
          <w:rFonts w:ascii="Times New Roman" w:hAnsi="Times New Roman"/>
          <w:color w:val="000000"/>
          <w:sz w:val="24"/>
          <w:szCs w:val="24"/>
        </w:rPr>
        <w:t>budžeta.</w:t>
      </w:r>
      <w:r w:rsidRPr="00B431B5">
        <w:rPr>
          <w:rFonts w:ascii="Times New Roman" w:hAnsi="Times New Roman"/>
          <w:color w:val="000000"/>
          <w:sz w:val="24"/>
          <w:szCs w:val="24"/>
        </w:rPr>
        <w:t xml:space="preserve"> Nadalje, Zakonom je uvedena Izjava o fiskalnoj odgovornosti za rukovodioce svih razina te </w:t>
      </w:r>
      <w:r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B431B5">
        <w:rPr>
          <w:rFonts w:ascii="Times New Roman" w:hAnsi="Times New Roman"/>
          <w:color w:val="000000"/>
          <w:sz w:val="24"/>
          <w:szCs w:val="24"/>
        </w:rPr>
        <w:t>utvrđuje sistem nadzora i odgovornosti za povredu odredbi ovoga Zakona.</w:t>
      </w:r>
      <w:r w:rsidR="00C87E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31B5">
        <w:rPr>
          <w:rFonts w:ascii="Times New Roman" w:hAnsi="Times New Roman"/>
          <w:color w:val="000000"/>
          <w:sz w:val="24"/>
          <w:szCs w:val="24"/>
        </w:rPr>
        <w:t>Na ovaj način želi se potaknuti još odgovornije planiranje budžetskih sredstava te se želi još jače naglasiti potreba odgovornog finan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B431B5">
        <w:rPr>
          <w:rFonts w:ascii="Times New Roman" w:hAnsi="Times New Roman"/>
          <w:color w:val="000000"/>
          <w:sz w:val="24"/>
          <w:szCs w:val="24"/>
        </w:rPr>
        <w:t xml:space="preserve">ijskog planiranja i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upravljanja finans</w:t>
      </w:r>
      <w:r w:rsidRPr="00B431B5">
        <w:rPr>
          <w:rFonts w:ascii="Times New Roman" w:hAnsi="Times New Roman"/>
          <w:color w:val="000000"/>
          <w:sz w:val="24"/>
          <w:szCs w:val="24"/>
        </w:rPr>
        <w:t>ijskim sredstvima. Drugo pravilo vezano je uz procjenu fiskaln</w:t>
      </w:r>
      <w:r>
        <w:rPr>
          <w:rFonts w:ascii="Times New Roman" w:hAnsi="Times New Roman"/>
          <w:color w:val="000000"/>
          <w:sz w:val="24"/>
          <w:szCs w:val="24"/>
        </w:rPr>
        <w:t xml:space="preserve">og učinka propisa koja je jedan </w:t>
      </w:r>
      <w:r w:rsidRPr="00B431B5">
        <w:rPr>
          <w:rFonts w:ascii="Times New Roman" w:hAnsi="Times New Roman"/>
          <w:color w:val="000000"/>
          <w:sz w:val="24"/>
          <w:szCs w:val="24"/>
        </w:rPr>
        <w:t>od ključnih instrumenata dobrog fiskalnog upravljanja.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31B5">
        <w:rPr>
          <w:rFonts w:ascii="Times New Roman" w:hAnsi="Times New Roman"/>
          <w:color w:val="000000"/>
          <w:sz w:val="24"/>
          <w:szCs w:val="24"/>
        </w:rPr>
        <w:t>Ona nam omogućava anticipiranje i kontrolu buduće potrošnje te povećava transparentnost procesa donošenja odluka. Prijedlozi</w:t>
      </w:r>
      <w:r w:rsidR="00C87E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31B5">
        <w:rPr>
          <w:rFonts w:ascii="Times New Roman" w:hAnsi="Times New Roman"/>
          <w:color w:val="000000"/>
          <w:sz w:val="24"/>
          <w:szCs w:val="24"/>
        </w:rPr>
        <w:t>uredbi, drugih propisa i akata</w:t>
      </w:r>
      <w:r>
        <w:rPr>
          <w:rFonts w:ascii="Times New Roman" w:hAnsi="Times New Roman"/>
          <w:color w:val="000000"/>
          <w:sz w:val="24"/>
          <w:szCs w:val="24"/>
        </w:rPr>
        <w:t xml:space="preserve"> koje donosi Vlada </w:t>
      </w:r>
      <w:r w:rsidRPr="00B431B5">
        <w:rPr>
          <w:rFonts w:ascii="Times New Roman" w:hAnsi="Times New Roman"/>
          <w:color w:val="000000"/>
          <w:sz w:val="24"/>
          <w:szCs w:val="24"/>
        </w:rPr>
        <w:t xml:space="preserve">te prijedlozi zakona i akata koje Vlada predlaže na donošenje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 w:rsidRPr="00B431B5">
        <w:rPr>
          <w:rFonts w:ascii="Times New Roman" w:hAnsi="Times New Roman"/>
          <w:color w:val="000000"/>
          <w:sz w:val="24"/>
          <w:szCs w:val="24"/>
        </w:rPr>
        <w:t>antonalnoj skupštini, ne mogu biti doneseni odnosno utvrđeni bez mišlj</w:t>
      </w:r>
      <w:r>
        <w:rPr>
          <w:rFonts w:ascii="Times New Roman" w:hAnsi="Times New Roman"/>
          <w:color w:val="000000"/>
          <w:sz w:val="24"/>
          <w:szCs w:val="24"/>
        </w:rPr>
        <w:t>enja Ministarstva financija, što je regulirano Pravilnikom o proceduri za izradu izjave o fiskalnoj procjeni zakona, drugih propisa i akata planiranja na budžet (“Službene novine FBiH“, broj: 34/2016 i 15/18 ).</w:t>
      </w:r>
      <w:r w:rsidRPr="00B431B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07605" w:rsidRPr="00F475EB" w:rsidRDefault="004746F9" w:rsidP="00DD49C8">
      <w:pPr>
        <w:pStyle w:val="Heading1"/>
        <w:rPr>
          <w:rFonts w:ascii="Times New Roman" w:hAnsi="Times New Roman"/>
          <w:sz w:val="28"/>
        </w:rPr>
      </w:pPr>
      <w:bookmarkStart w:id="8" w:name="_Toc9858435"/>
      <w:r w:rsidRPr="00F475EB">
        <w:rPr>
          <w:rFonts w:ascii="Times New Roman" w:hAnsi="Times New Roman"/>
          <w:sz w:val="28"/>
        </w:rPr>
        <w:t>4. PRETPOSTAVKE DRUŠTVENOG I PRIVREDNOG RAZVOJA ZA BUDŽETSKU I ZA SLJEDEĆE DVIJE GODINE</w:t>
      </w:r>
      <w:bookmarkEnd w:id="8"/>
    </w:p>
    <w:p w:rsidR="00C87E8B" w:rsidRDefault="00F07605" w:rsidP="004746F9">
      <w:pPr>
        <w:jc w:val="both"/>
        <w:rPr>
          <w:rFonts w:ascii="Times New Roman" w:hAnsi="Times New Roman"/>
          <w:sz w:val="24"/>
          <w:szCs w:val="24"/>
        </w:rPr>
      </w:pPr>
      <w:r w:rsidRPr="00F16CFE">
        <w:rPr>
          <w:rFonts w:ascii="Times New Roman" w:hAnsi="Times New Roman"/>
          <w:sz w:val="24"/>
          <w:szCs w:val="24"/>
        </w:rPr>
        <w:t>Budući da Bosna i Hercegovina nastavlja svoj evropski put i da su tokom 201</w:t>
      </w:r>
      <w:r w:rsidR="00A52016">
        <w:rPr>
          <w:rFonts w:ascii="Times New Roman" w:hAnsi="Times New Roman"/>
          <w:sz w:val="24"/>
          <w:szCs w:val="24"/>
        </w:rPr>
        <w:t>8</w:t>
      </w:r>
      <w:r w:rsidRPr="00F16CFE">
        <w:rPr>
          <w:rFonts w:ascii="Times New Roman" w:hAnsi="Times New Roman"/>
          <w:sz w:val="24"/>
          <w:szCs w:val="24"/>
        </w:rPr>
        <w:t>. godine prov</w:t>
      </w:r>
      <w:r w:rsidR="00C87E8B">
        <w:rPr>
          <w:rFonts w:ascii="Times New Roman" w:hAnsi="Times New Roman"/>
          <w:sz w:val="24"/>
          <w:szCs w:val="24"/>
        </w:rPr>
        <w:t>ed</w:t>
      </w:r>
      <w:r w:rsidRPr="00F16CFE">
        <w:rPr>
          <w:rFonts w:ascii="Times New Roman" w:hAnsi="Times New Roman"/>
          <w:sz w:val="24"/>
          <w:szCs w:val="24"/>
        </w:rPr>
        <w:t>ene aktivnosti na popunjavanju Upitnika, formalnog dokumenta kojim će biti procijenjena spremnost države za dodjelu statusa kandidata EU, sve institucije Bosne i Hercegovine su bile uključene u izradu odgovora, pa tako i Vlada Unsko-sanskog kantona. Državni službenici iz Vlade Unsko-sanskog kantona su bili uključeni u radne grupe formirane za potrebe popunjavanja Upitnika i uspješno su obavili zadatke, a nadležna ministarstva su potvrdila saglasnosti na date odgovore. Budući da se očekuje da tokom 201</w:t>
      </w:r>
      <w:r w:rsidR="00EF187E">
        <w:rPr>
          <w:rFonts w:ascii="Times New Roman" w:hAnsi="Times New Roman"/>
          <w:sz w:val="24"/>
          <w:szCs w:val="24"/>
        </w:rPr>
        <w:t>9</w:t>
      </w:r>
      <w:r w:rsidRPr="00F16CFE">
        <w:rPr>
          <w:rFonts w:ascii="Times New Roman" w:hAnsi="Times New Roman"/>
          <w:sz w:val="24"/>
          <w:szCs w:val="24"/>
        </w:rPr>
        <w:t>. godine Bosna i Hercegovina dobije kandidatski status za pristup u članstvo EU, Vlada Unsko</w:t>
      </w:r>
      <w:r w:rsidR="00B03F88">
        <w:rPr>
          <w:rFonts w:ascii="Times New Roman" w:hAnsi="Times New Roman"/>
          <w:sz w:val="24"/>
          <w:szCs w:val="24"/>
        </w:rPr>
        <w:t>-</w:t>
      </w:r>
      <w:r w:rsidRPr="00F16CFE">
        <w:rPr>
          <w:rFonts w:ascii="Times New Roman" w:hAnsi="Times New Roman"/>
          <w:sz w:val="24"/>
          <w:szCs w:val="24"/>
        </w:rPr>
        <w:t xml:space="preserve">sanskog kantona će preuzeti sve obaveze koje kandidatski status propisuje za nivo kantona. </w:t>
      </w:r>
    </w:p>
    <w:p w:rsidR="00C87E8B" w:rsidRDefault="00F07605" w:rsidP="004746F9">
      <w:pPr>
        <w:jc w:val="both"/>
        <w:rPr>
          <w:rFonts w:ascii="Times New Roman" w:hAnsi="Times New Roman"/>
          <w:sz w:val="24"/>
          <w:szCs w:val="24"/>
        </w:rPr>
      </w:pPr>
      <w:r w:rsidRPr="00F16CFE">
        <w:rPr>
          <w:rFonts w:ascii="Times New Roman" w:hAnsi="Times New Roman"/>
          <w:sz w:val="24"/>
          <w:szCs w:val="24"/>
        </w:rPr>
        <w:t>Također, Vlada Unsko-sanskog kantona će i u 201</w:t>
      </w:r>
      <w:r w:rsidR="00EF187E">
        <w:rPr>
          <w:rFonts w:ascii="Times New Roman" w:hAnsi="Times New Roman"/>
          <w:sz w:val="24"/>
          <w:szCs w:val="24"/>
        </w:rPr>
        <w:t>9</w:t>
      </w:r>
      <w:r w:rsidRPr="00F16CFE">
        <w:rPr>
          <w:rFonts w:ascii="Times New Roman" w:hAnsi="Times New Roman"/>
          <w:sz w:val="24"/>
          <w:szCs w:val="24"/>
        </w:rPr>
        <w:t>. godini nastaviti sa programskim aktivnostima planiranim u Akcionom planu Vlade Unsko-sanskog kantona za realizaciju Reformske agende Bosne i Hercegovine pa su tako planirane aktivnosti na</w:t>
      </w:r>
      <w:r w:rsidR="00F16CFE" w:rsidRPr="00F16CFE">
        <w:rPr>
          <w:rFonts w:ascii="Times New Roman" w:hAnsi="Times New Roman"/>
          <w:sz w:val="24"/>
          <w:szCs w:val="24"/>
        </w:rPr>
        <w:t xml:space="preserve"> skupštinskom donošenju i implementaciji zakona koje je Vlada usvojila: Zakona o izmjenama i dopunama Zakona o policijskim službenicima Unsko-sanskog kantona, Zakona o plaćama policijskih službenika Unsko</w:t>
      </w:r>
      <w:r w:rsidR="008464C9">
        <w:rPr>
          <w:rFonts w:ascii="Times New Roman" w:hAnsi="Times New Roman"/>
          <w:sz w:val="24"/>
          <w:szCs w:val="24"/>
        </w:rPr>
        <w:t xml:space="preserve"> </w:t>
      </w:r>
      <w:r w:rsidR="00F16CFE" w:rsidRPr="00F16CFE">
        <w:rPr>
          <w:rFonts w:ascii="Times New Roman" w:hAnsi="Times New Roman"/>
          <w:sz w:val="24"/>
          <w:szCs w:val="24"/>
        </w:rPr>
        <w:t xml:space="preserve">sanskog kantona, Zakona o izmjenama i dopunama Zakona o plaćama i naknadama u organima vlasti Unsko-sanskog kantona, Zakona o izmjenama i dopunama Zakona o porezu na promet nekretnina, Zakona o izmjenama i dopunama Zakona o porezu na imovinu i porezu na naslijeđe i poklon, Zakona o visokom obrazovanju, Zakona o naučno-istraživačkoj djelatnosti, Zakona o osnovnom odgoju i obrazovanju, Strategije obrazovanja,  Pedagoških standarda i normativa za visoko obrazovanje, </w:t>
      </w:r>
      <w:r w:rsidR="00F16CFE" w:rsidRPr="00A52016">
        <w:rPr>
          <w:rFonts w:ascii="Times New Roman" w:hAnsi="Times New Roman"/>
          <w:sz w:val="24"/>
          <w:szCs w:val="24"/>
        </w:rPr>
        <w:t>Pedagoških standarda i normativa za predškolsko obrazovanje, Pedagoških standarda i normativa za osnovno obrazovanje</w:t>
      </w:r>
      <w:r w:rsidR="008464C9" w:rsidRPr="00A52016">
        <w:rPr>
          <w:rFonts w:ascii="Times New Roman" w:hAnsi="Times New Roman"/>
          <w:sz w:val="24"/>
          <w:szCs w:val="24"/>
        </w:rPr>
        <w:t xml:space="preserve">. </w:t>
      </w:r>
    </w:p>
    <w:p w:rsidR="008464C9" w:rsidRPr="00F16CFE" w:rsidRDefault="00F16CFE" w:rsidP="004746F9">
      <w:pPr>
        <w:jc w:val="both"/>
        <w:rPr>
          <w:rFonts w:ascii="Times New Roman" w:hAnsi="Times New Roman"/>
          <w:sz w:val="24"/>
          <w:szCs w:val="24"/>
        </w:rPr>
      </w:pPr>
      <w:r w:rsidRPr="00F16CFE">
        <w:rPr>
          <w:rFonts w:ascii="Times New Roman" w:hAnsi="Times New Roman"/>
          <w:sz w:val="24"/>
          <w:szCs w:val="24"/>
        </w:rPr>
        <w:t>Također Vlada u toku 201</w:t>
      </w:r>
      <w:r w:rsidR="008464C9">
        <w:rPr>
          <w:rFonts w:ascii="Times New Roman" w:hAnsi="Times New Roman"/>
          <w:sz w:val="24"/>
          <w:szCs w:val="24"/>
        </w:rPr>
        <w:t>9</w:t>
      </w:r>
      <w:r w:rsidRPr="00F16CFE">
        <w:rPr>
          <w:rFonts w:ascii="Times New Roman" w:hAnsi="Times New Roman"/>
          <w:sz w:val="24"/>
          <w:szCs w:val="24"/>
        </w:rPr>
        <w:t>. godine planira izradu i donošenje: Zakona o izmjenama i dopunama Zakona o obrazovanju odraslih, Strategije kulture, Uredbu o vrsti, sadržaju, označavanju i čuvanju, reviziji i nostrifikaciji projektne dokumentacije, Uredbu o izmjenama i dopunama Uredbe o građevinama i zahvatima od značaja za Unsko-sanski kanton i građevinama, djelatnostima i zahvatima koji mogu u znatnoj mjeri uticati na okoliš, život i zdravlje ljudi, za koje lokacijsku informaciju, odnosno urbanističku saglasnost izdaje Ministarstvo za građenje, prostorno uređenje i zaštitu okoliša Unsko-sanskog kantona, Odluku o određivanju visine minimalne slobodno ugovorene zakupnine stana na području grada Bihaća i općina Unsko-sanskog kantona (8 Odluka), Odluku o utvrđivanju uslova, kriterija i postupka za raspodjelu namjenskih sredstava iz ekoloških naknada za 201</w:t>
      </w:r>
      <w:r w:rsidR="00781E0E">
        <w:rPr>
          <w:rFonts w:ascii="Times New Roman" w:hAnsi="Times New Roman"/>
          <w:sz w:val="24"/>
          <w:szCs w:val="24"/>
        </w:rPr>
        <w:t>9</w:t>
      </w:r>
      <w:r w:rsidRPr="00F16CFE">
        <w:rPr>
          <w:rFonts w:ascii="Times New Roman" w:hAnsi="Times New Roman"/>
          <w:sz w:val="24"/>
          <w:szCs w:val="24"/>
        </w:rPr>
        <w:t>. godinu, Zakon o izmjenama i dopunama Zakona o dopunskim pravima branilaca i članova njihovih porodica itd.</w:t>
      </w:r>
    </w:p>
    <w:p w:rsidR="002D67D6" w:rsidRDefault="002D67D6" w:rsidP="004746F9">
      <w:pPr>
        <w:jc w:val="both"/>
        <w:rPr>
          <w:rFonts w:ascii="Times New Roman" w:hAnsi="Times New Roman"/>
          <w:sz w:val="24"/>
          <w:szCs w:val="24"/>
        </w:rPr>
      </w:pPr>
    </w:p>
    <w:p w:rsidR="00F16CFE" w:rsidRDefault="00F16CFE" w:rsidP="004746F9">
      <w:pPr>
        <w:jc w:val="both"/>
        <w:rPr>
          <w:rFonts w:ascii="Times New Roman" w:hAnsi="Times New Roman"/>
          <w:sz w:val="24"/>
          <w:szCs w:val="24"/>
        </w:rPr>
      </w:pPr>
      <w:r w:rsidRPr="00F16CFE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16CFE">
        <w:rPr>
          <w:rFonts w:ascii="Times New Roman" w:hAnsi="Times New Roman"/>
          <w:b/>
          <w:sz w:val="24"/>
          <w:szCs w:val="24"/>
        </w:rPr>
        <w:t>Aktivnosti Vlade Kantona</w:t>
      </w:r>
      <w:r w:rsidRPr="00F16CFE">
        <w:rPr>
          <w:rFonts w:ascii="Times New Roman" w:hAnsi="Times New Roman"/>
          <w:sz w:val="24"/>
          <w:szCs w:val="24"/>
        </w:rPr>
        <w:t xml:space="preserve"> u ovom programskom periodu bit će usmjerene i na: </w:t>
      </w:r>
    </w:p>
    <w:p w:rsidR="00C87E8B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E8B">
        <w:rPr>
          <w:rFonts w:ascii="Times New Roman" w:hAnsi="Times New Roman"/>
          <w:sz w:val="24"/>
          <w:szCs w:val="24"/>
        </w:rPr>
        <w:t>stabilizaciju i konsolidaciju finan</w:t>
      </w:r>
      <w:r w:rsidR="002D67D6">
        <w:rPr>
          <w:rFonts w:ascii="Times New Roman" w:hAnsi="Times New Roman"/>
          <w:sz w:val="24"/>
          <w:szCs w:val="24"/>
        </w:rPr>
        <w:t>s</w:t>
      </w:r>
      <w:r w:rsidRPr="00C87E8B">
        <w:rPr>
          <w:rFonts w:ascii="Times New Roman" w:hAnsi="Times New Roman"/>
          <w:sz w:val="24"/>
          <w:szCs w:val="24"/>
        </w:rPr>
        <w:t>ijskog stanja Bu</w:t>
      </w:r>
      <w:r w:rsidR="00B03F88">
        <w:rPr>
          <w:rFonts w:ascii="Times New Roman" w:hAnsi="Times New Roman"/>
          <w:sz w:val="24"/>
          <w:szCs w:val="24"/>
        </w:rPr>
        <w:t>d</w:t>
      </w:r>
      <w:r w:rsidRPr="00C87E8B">
        <w:rPr>
          <w:rFonts w:ascii="Times New Roman" w:hAnsi="Times New Roman"/>
          <w:sz w:val="24"/>
          <w:szCs w:val="24"/>
        </w:rPr>
        <w:t>žeta Unsko-sanskog kantona;</w:t>
      </w:r>
    </w:p>
    <w:p w:rsidR="00C87E8B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E8B">
        <w:rPr>
          <w:rFonts w:ascii="Times New Roman" w:hAnsi="Times New Roman"/>
          <w:sz w:val="24"/>
          <w:szCs w:val="24"/>
        </w:rPr>
        <w:t>odlučnu opredjeljenost da se iz stagnacije pokrene snažniji razvoj i nova ulaganja radi poboljšanja poslovnog ambijenta kao i osiguranje vlastitih sredstava za sufinansiranje projekata iz europskih fondova i fondova me</w:t>
      </w:r>
      <w:r w:rsidR="0079191D" w:rsidRPr="00C87E8B">
        <w:rPr>
          <w:rFonts w:ascii="Times New Roman" w:hAnsi="Times New Roman"/>
          <w:sz w:val="24"/>
          <w:szCs w:val="24"/>
        </w:rPr>
        <w:t>đ</w:t>
      </w:r>
      <w:r w:rsidRPr="00C87E8B">
        <w:rPr>
          <w:rFonts w:ascii="Times New Roman" w:hAnsi="Times New Roman"/>
          <w:sz w:val="24"/>
          <w:szCs w:val="24"/>
        </w:rPr>
        <w:t>unarodnih organizacija;</w:t>
      </w:r>
    </w:p>
    <w:p w:rsidR="00C87E8B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E8B">
        <w:rPr>
          <w:rFonts w:ascii="Times New Roman" w:hAnsi="Times New Roman"/>
          <w:sz w:val="24"/>
          <w:szCs w:val="24"/>
        </w:rPr>
        <w:t xml:space="preserve">nulta stopa tolerancije protiv kriminala i korupcije; </w:t>
      </w:r>
    </w:p>
    <w:p w:rsidR="00C87E8B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E8B">
        <w:rPr>
          <w:rFonts w:ascii="Times New Roman" w:hAnsi="Times New Roman"/>
          <w:sz w:val="24"/>
          <w:szCs w:val="24"/>
        </w:rPr>
        <w:t>poboljšanje materijalno - tehni</w:t>
      </w:r>
      <w:r w:rsidR="0079191D" w:rsidRPr="00C87E8B">
        <w:rPr>
          <w:rFonts w:ascii="Times New Roman" w:hAnsi="Times New Roman"/>
          <w:sz w:val="24"/>
          <w:szCs w:val="24"/>
        </w:rPr>
        <w:t>č</w:t>
      </w:r>
      <w:r w:rsidRPr="00C87E8B">
        <w:rPr>
          <w:rFonts w:ascii="Times New Roman" w:hAnsi="Times New Roman"/>
          <w:sz w:val="24"/>
          <w:szCs w:val="24"/>
        </w:rPr>
        <w:t>ke opremljenosti i obu</w:t>
      </w:r>
      <w:r w:rsidR="002D67D6">
        <w:rPr>
          <w:rFonts w:ascii="Times New Roman" w:hAnsi="Times New Roman"/>
          <w:sz w:val="24"/>
          <w:szCs w:val="24"/>
        </w:rPr>
        <w:t>č</w:t>
      </w:r>
      <w:r w:rsidRPr="00C87E8B">
        <w:rPr>
          <w:rFonts w:ascii="Times New Roman" w:hAnsi="Times New Roman"/>
          <w:sz w:val="24"/>
          <w:szCs w:val="24"/>
        </w:rPr>
        <w:t>enosti Ministarstva unutrašnjih poslova radi povećanja stepena sigurnosti u Unsko-sanskom kantonu i kontroliranog upravljanja kriznim situacijama, posebno migrantskom krizom, a sve u skladu s ustavnim nadležnostima i zakonskim ovlaštenjima;</w:t>
      </w:r>
    </w:p>
    <w:p w:rsidR="00C87E8B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E8B">
        <w:rPr>
          <w:rFonts w:ascii="Times New Roman" w:hAnsi="Times New Roman"/>
          <w:sz w:val="24"/>
          <w:szCs w:val="24"/>
        </w:rPr>
        <w:t>utvrđivanje zdravstvene politike koja će se usredoto</w:t>
      </w:r>
      <w:r w:rsidR="0079191D" w:rsidRPr="00C87E8B">
        <w:rPr>
          <w:rFonts w:ascii="Times New Roman" w:hAnsi="Times New Roman"/>
          <w:sz w:val="24"/>
          <w:szCs w:val="24"/>
        </w:rPr>
        <w:t>č</w:t>
      </w:r>
      <w:r w:rsidRPr="00C87E8B">
        <w:rPr>
          <w:rFonts w:ascii="Times New Roman" w:hAnsi="Times New Roman"/>
          <w:sz w:val="24"/>
          <w:szCs w:val="24"/>
        </w:rPr>
        <w:t>iti na reformu zdravstvenog sistema radi smanjenja potrošnje u zdravstvu, racionalizacije nemedicinskog kadra, osiguranja kvalitetne zdravstvene infrastrukture i potrebnih specijalisti</w:t>
      </w:r>
      <w:r w:rsidR="002D67D6">
        <w:rPr>
          <w:rFonts w:ascii="Times New Roman" w:hAnsi="Times New Roman"/>
          <w:sz w:val="24"/>
          <w:szCs w:val="24"/>
        </w:rPr>
        <w:t>č</w:t>
      </w:r>
      <w:r w:rsidRPr="00C87E8B">
        <w:rPr>
          <w:rFonts w:ascii="Times New Roman" w:hAnsi="Times New Roman"/>
          <w:sz w:val="24"/>
          <w:szCs w:val="24"/>
        </w:rPr>
        <w:t>kih kadrova;</w:t>
      </w:r>
    </w:p>
    <w:p w:rsidR="00C87E8B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E8B">
        <w:rPr>
          <w:rFonts w:ascii="Times New Roman" w:hAnsi="Times New Roman"/>
          <w:sz w:val="24"/>
          <w:szCs w:val="24"/>
        </w:rPr>
        <w:t>snažniju potporu socijalnom partnerstvu i provo</w:t>
      </w:r>
      <w:r w:rsidR="0079191D" w:rsidRPr="00C87E8B">
        <w:rPr>
          <w:rFonts w:ascii="Times New Roman" w:hAnsi="Times New Roman"/>
          <w:sz w:val="24"/>
          <w:szCs w:val="24"/>
        </w:rPr>
        <w:t>đ</w:t>
      </w:r>
      <w:r w:rsidRPr="00C87E8B">
        <w:rPr>
          <w:rFonts w:ascii="Times New Roman" w:hAnsi="Times New Roman"/>
          <w:sz w:val="24"/>
          <w:szCs w:val="24"/>
        </w:rPr>
        <w:t>enju potrebnih socijalnih mjera kako bi se u najvećoj mjeri zajam</w:t>
      </w:r>
      <w:r w:rsidR="002D67D6">
        <w:rPr>
          <w:rFonts w:ascii="Times New Roman" w:hAnsi="Times New Roman"/>
          <w:sz w:val="24"/>
          <w:szCs w:val="24"/>
        </w:rPr>
        <w:t>č</w:t>
      </w:r>
      <w:r w:rsidRPr="00C87E8B">
        <w:rPr>
          <w:rFonts w:ascii="Times New Roman" w:hAnsi="Times New Roman"/>
          <w:sz w:val="24"/>
          <w:szCs w:val="24"/>
        </w:rPr>
        <w:t>ila socijalna uklju</w:t>
      </w:r>
      <w:r w:rsidR="002D67D6">
        <w:rPr>
          <w:rFonts w:ascii="Times New Roman" w:hAnsi="Times New Roman"/>
          <w:sz w:val="24"/>
          <w:szCs w:val="24"/>
        </w:rPr>
        <w:t>č</w:t>
      </w:r>
      <w:r w:rsidRPr="00C87E8B">
        <w:rPr>
          <w:rFonts w:ascii="Times New Roman" w:hAnsi="Times New Roman"/>
          <w:sz w:val="24"/>
          <w:szCs w:val="24"/>
        </w:rPr>
        <w:t xml:space="preserve">enost i pravednost; 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E8B">
        <w:rPr>
          <w:rFonts w:ascii="Times New Roman" w:hAnsi="Times New Roman"/>
          <w:sz w:val="24"/>
          <w:szCs w:val="24"/>
        </w:rPr>
        <w:t>strateške aktivnosti demografske obnove Unsko-sanskog kantona;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reforma javne uprave po sektorima. Centralizacija javnih nabavki svih kantonalnih institucija. Reorganizacija i racionalizacija uprave s ciljem postizanja većeg stupnja efikasnosti, ekonomi</w:t>
      </w:r>
      <w:r w:rsidR="002D67D6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nosti i transparentnosti u radu;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reformu obrazovnog sistema radi depolitizacije i dostupnosti obrazovanja svima pod jednakim uvjetima, osiguranja kvalitetnog sistema i povećanja nivoa znanja uz maksimalno korištenje savremenih informacijsko-komunikacijskih tehnologija,</w:t>
      </w:r>
      <w:r w:rsidR="002F2733" w:rsidRPr="00FD0DDD">
        <w:rPr>
          <w:rFonts w:ascii="Times New Roman" w:hAnsi="Times New Roman"/>
          <w:sz w:val="24"/>
          <w:szCs w:val="24"/>
        </w:rPr>
        <w:t xml:space="preserve"> </w:t>
      </w:r>
      <w:r w:rsidRPr="00FD0DDD">
        <w:rPr>
          <w:rFonts w:ascii="Times New Roman" w:hAnsi="Times New Roman"/>
          <w:sz w:val="24"/>
          <w:szCs w:val="24"/>
        </w:rPr>
        <w:t>te obezbje</w:t>
      </w:r>
      <w:r w:rsidR="002F2733" w:rsidRPr="00FD0DDD">
        <w:rPr>
          <w:rFonts w:ascii="Times New Roman" w:hAnsi="Times New Roman"/>
          <w:sz w:val="24"/>
          <w:szCs w:val="24"/>
        </w:rPr>
        <w:t>đ</w:t>
      </w:r>
      <w:r w:rsidRPr="00FD0DDD">
        <w:rPr>
          <w:rFonts w:ascii="Times New Roman" w:hAnsi="Times New Roman"/>
          <w:sz w:val="24"/>
          <w:szCs w:val="24"/>
        </w:rPr>
        <w:t>enje transparentnog i racionalnijeg trošenja sredstava u ovoj oblasti;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stvaranje potrebnih pretpostavki za ravnomjerni i uravnoteženi razvoj svih općina i gradova Unsko-sanskog kantona, imajući u vidu njihove specifi</w:t>
      </w:r>
      <w:r w:rsidR="002F2733" w:rsidRPr="00FD0DDD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ne privredne i društvene potrebe;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dovršetak privatizacijskog procesa privrednih subjekata u nadležnosti Unsko-sanskog kantona;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razvoj malog i srednjeg poduzetništva putem uskla</w:t>
      </w:r>
      <w:r w:rsidR="002F2733" w:rsidRPr="00FD0DDD">
        <w:rPr>
          <w:rFonts w:ascii="Times New Roman" w:hAnsi="Times New Roman"/>
          <w:sz w:val="24"/>
          <w:szCs w:val="24"/>
        </w:rPr>
        <w:t>đ</w:t>
      </w:r>
      <w:r w:rsidRPr="00FD0DDD">
        <w:rPr>
          <w:rFonts w:ascii="Times New Roman" w:hAnsi="Times New Roman"/>
          <w:sz w:val="24"/>
          <w:szCs w:val="24"/>
        </w:rPr>
        <w:t>ene kantonalne politike u svim podru</w:t>
      </w:r>
      <w:r w:rsidR="002D67D6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jima od obrazovanja i nauke, uklanjanja administrativnih prepreka do mjera i instrumenata za potporu poduzetnicima; Usvajanje Zakona o ulaganju i novog Zakona o javno-privatnom partnerstvu;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 xml:space="preserve">smanjenje stope nezaposlenosti kroz programe dodatnog osposobljavanja, prekvalifikacija i olakšica, posebno namijenjene mladima i dugotrajno nezaposlenima; Otvaranje start - up centara i izgradnja tehnološkog parka; 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 xml:space="preserve">povećanje konkurentnosti poljoprivrede Unsko - sanskog kantona kroz poticanje proizvodnje, kapitalna ulaganja i ruralni razvoj na osnovu Strategije razvoja poljoprivrede Unsko-sanskog kantona; 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podržavanje trenda rasta poticaja u poljoprivredi, nove investicije i poticaj za ekološku i organsku proizvodnju, šumarstvo, drvnu industriju i sve vrste prera</w:t>
      </w:r>
      <w:r w:rsidR="002F2733" w:rsidRPr="00FD0DDD">
        <w:rPr>
          <w:rFonts w:ascii="Times New Roman" w:hAnsi="Times New Roman"/>
          <w:sz w:val="24"/>
          <w:szCs w:val="24"/>
        </w:rPr>
        <w:t>đ</w:t>
      </w:r>
      <w:r w:rsidRPr="00FD0DDD">
        <w:rPr>
          <w:rFonts w:ascii="Times New Roman" w:hAnsi="Times New Roman"/>
          <w:sz w:val="24"/>
          <w:szCs w:val="24"/>
        </w:rPr>
        <w:t>iva</w:t>
      </w:r>
      <w:r w:rsidR="002F2733" w:rsidRPr="00FD0DDD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ke industrije;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izgradnja cestovne infrastrukture s ciljem jednakomjerne prometne povezanosti svih gradova i općina Unsko-sanskog kantona sa vlastitim financijskim sredstvima kao i financijskim sredstvima koja će se tražiti od federalnog nivoa vlasti. Nedvosmislen zahtjev prema federalnim institucijama kako bi se javne investicije u Federaciji Bosne i Hercegovine distribuirale srazmjerno broju stanovnika;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lastRenderedPageBreak/>
        <w:t>sistemski razvoj turizma u Unsko</w:t>
      </w:r>
      <w:r w:rsidR="002D67D6">
        <w:rPr>
          <w:rFonts w:ascii="Times New Roman" w:hAnsi="Times New Roman"/>
          <w:sz w:val="24"/>
          <w:szCs w:val="24"/>
        </w:rPr>
        <w:t>-</w:t>
      </w:r>
      <w:r w:rsidRPr="00FD0DDD">
        <w:rPr>
          <w:rFonts w:ascii="Times New Roman" w:hAnsi="Times New Roman"/>
          <w:sz w:val="24"/>
          <w:szCs w:val="24"/>
        </w:rPr>
        <w:t>sanskom kantonu, posebno kroz snažno povezivanje poljoprivredne i prehrambene industrije i sektora turisti</w:t>
      </w:r>
      <w:r w:rsidR="002D67D6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 xml:space="preserve">kih usluga; 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uvo</w:t>
      </w:r>
      <w:r w:rsidR="002F2733" w:rsidRPr="00FD0DDD">
        <w:rPr>
          <w:rFonts w:ascii="Times New Roman" w:hAnsi="Times New Roman"/>
          <w:sz w:val="24"/>
          <w:szCs w:val="24"/>
        </w:rPr>
        <w:t>đ</w:t>
      </w:r>
      <w:r w:rsidRPr="00FD0DDD">
        <w:rPr>
          <w:rFonts w:ascii="Times New Roman" w:hAnsi="Times New Roman"/>
          <w:sz w:val="24"/>
          <w:szCs w:val="24"/>
        </w:rPr>
        <w:t>enje i primjena Smjernica OECD</w:t>
      </w:r>
      <w:r w:rsidR="002F2733" w:rsidRPr="00FD0DDD">
        <w:rPr>
          <w:rFonts w:ascii="Times New Roman" w:hAnsi="Times New Roman"/>
          <w:sz w:val="24"/>
          <w:szCs w:val="24"/>
        </w:rPr>
        <w:t>-</w:t>
      </w:r>
      <w:r w:rsidRPr="00FD0DDD">
        <w:rPr>
          <w:rFonts w:ascii="Times New Roman" w:hAnsi="Times New Roman"/>
          <w:sz w:val="24"/>
          <w:szCs w:val="24"/>
        </w:rPr>
        <w:t xml:space="preserve">a za korporativno upravljanje javnim preduzećima (preduzećima u državnom vlasništvu); 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planski održivi razvoj i iskorištavanje prirodnog bogatstva vodeći ra</w:t>
      </w:r>
      <w:r w:rsidR="00A46C98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una o zaštiti okoliša, uvo</w:t>
      </w:r>
      <w:r w:rsidR="002F2733" w:rsidRPr="00FD0DDD">
        <w:rPr>
          <w:rFonts w:ascii="Times New Roman" w:hAnsi="Times New Roman"/>
          <w:sz w:val="24"/>
          <w:szCs w:val="24"/>
        </w:rPr>
        <w:t>đ</w:t>
      </w:r>
      <w:r w:rsidRPr="00FD0DDD">
        <w:rPr>
          <w:rFonts w:ascii="Times New Roman" w:hAnsi="Times New Roman"/>
          <w:sz w:val="24"/>
          <w:szCs w:val="24"/>
        </w:rPr>
        <w:t>enje reda u prostor i okoliš te poduzimanje svih potrebnih mjera kako bi se sprije</w:t>
      </w:r>
      <w:r w:rsidR="002F2733" w:rsidRPr="00FD0DDD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 xml:space="preserve">ila neprimjerena devastacija prostora u skladu s najboljom europskom praksom; 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praćenje i pravovremenu uklju</w:t>
      </w:r>
      <w:r w:rsidR="002F2733" w:rsidRPr="00FD0DDD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enost u ispunjavanje obaveza na europskom putu koje su u nadležnosti Unskosanskog kantona;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o</w:t>
      </w:r>
      <w:r w:rsidR="002F2733" w:rsidRPr="00FD0DDD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uvanje dostojanstva porodica šehida, ratnih vojnih invalida i demobilisanih boraca uz ulaganje stalnog angažmana za poboljšanje statusa i stvaranje boljih životnih uslova za pripadnike bora</w:t>
      </w:r>
      <w:r w:rsidR="00A46C98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 xml:space="preserve">kih populacija; 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o</w:t>
      </w:r>
      <w:r w:rsidR="002F2733" w:rsidRPr="00FD0DDD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uvanje sjećanja i baštinjenje tekovina odbrambeno-oslobodila</w:t>
      </w:r>
      <w:r w:rsidR="00A46C98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kog rata te sistemsko ure</w:t>
      </w:r>
      <w:r w:rsidR="002F2733" w:rsidRPr="00FD0DDD">
        <w:rPr>
          <w:rFonts w:ascii="Times New Roman" w:hAnsi="Times New Roman"/>
          <w:sz w:val="24"/>
          <w:szCs w:val="24"/>
        </w:rPr>
        <w:t>đ</w:t>
      </w:r>
      <w:r w:rsidRPr="00FD0DDD">
        <w:rPr>
          <w:rFonts w:ascii="Times New Roman" w:hAnsi="Times New Roman"/>
          <w:sz w:val="24"/>
          <w:szCs w:val="24"/>
        </w:rPr>
        <w:t>enje i organizacijsko poboljšanje obilježavanja zna</w:t>
      </w:r>
      <w:r w:rsidR="00A46C98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ajnih datuma na podru</w:t>
      </w:r>
      <w:r w:rsidR="00A46C98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ju Unsko-sanskog kantona;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izdvajanje zakonom utvr</w:t>
      </w:r>
      <w:r w:rsidR="002F2733" w:rsidRPr="00FD0DDD">
        <w:rPr>
          <w:rFonts w:ascii="Times New Roman" w:hAnsi="Times New Roman"/>
          <w:sz w:val="24"/>
          <w:szCs w:val="24"/>
        </w:rPr>
        <w:t>đ</w:t>
      </w:r>
      <w:r w:rsidRPr="00FD0DDD">
        <w:rPr>
          <w:rFonts w:ascii="Times New Roman" w:hAnsi="Times New Roman"/>
          <w:sz w:val="24"/>
          <w:szCs w:val="24"/>
        </w:rPr>
        <w:t>enih financijskih sredstava za mlade, kulturu i sport. Aktivnija institucionalna podrška razvoju sporta i sportskim kolektivima na podru</w:t>
      </w:r>
      <w:r w:rsidR="00A46C98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ju Unsko-sanskog kantona. Snažnija podrška institucijama kulture i zna</w:t>
      </w:r>
      <w:r w:rsidR="00A46C98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 xml:space="preserve">ajnija ulaganja u objekte kulture i prirodne baštine; </w:t>
      </w:r>
    </w:p>
    <w:p w:rsid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izgradnja partnerskog odnosa sa bosanskohercegova</w:t>
      </w:r>
      <w:r w:rsidR="00781A5B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kom dijasporom kao i uklju</w:t>
      </w:r>
      <w:r w:rsidR="00781A5B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ivanje institucija Unsko</w:t>
      </w:r>
      <w:r w:rsidR="00B03F88">
        <w:rPr>
          <w:rFonts w:ascii="Times New Roman" w:hAnsi="Times New Roman"/>
          <w:sz w:val="24"/>
          <w:szCs w:val="24"/>
        </w:rPr>
        <w:t>-</w:t>
      </w:r>
      <w:r w:rsidRPr="00FD0DDD">
        <w:rPr>
          <w:rFonts w:ascii="Times New Roman" w:hAnsi="Times New Roman"/>
          <w:sz w:val="24"/>
          <w:szCs w:val="24"/>
        </w:rPr>
        <w:t>sanskog kantona u proces kreiranja rješenja s ciljem bržeg protoka ljudi, roba i usluga preko grani</w:t>
      </w:r>
      <w:r w:rsidR="00781A5B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nih prijelaza, olakšavanja izdavanja li</w:t>
      </w:r>
      <w:r w:rsidR="00781A5B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nih dokumenata gra</w:t>
      </w:r>
      <w:r w:rsidR="002F2733" w:rsidRPr="00FD0DDD">
        <w:rPr>
          <w:rFonts w:ascii="Times New Roman" w:hAnsi="Times New Roman"/>
          <w:sz w:val="24"/>
          <w:szCs w:val="24"/>
        </w:rPr>
        <w:t>đ</w:t>
      </w:r>
      <w:r w:rsidRPr="00FD0DDD">
        <w:rPr>
          <w:rFonts w:ascii="Times New Roman" w:hAnsi="Times New Roman"/>
          <w:sz w:val="24"/>
          <w:szCs w:val="24"/>
        </w:rPr>
        <w:t>anima koji rade i borave u dijaspori te unapre</w:t>
      </w:r>
      <w:r w:rsidR="002F2733" w:rsidRPr="00FD0DDD">
        <w:rPr>
          <w:rFonts w:ascii="Times New Roman" w:hAnsi="Times New Roman"/>
          <w:sz w:val="24"/>
          <w:szCs w:val="24"/>
        </w:rPr>
        <w:t>đ</w:t>
      </w:r>
      <w:r w:rsidRPr="00FD0DDD">
        <w:rPr>
          <w:rFonts w:ascii="Times New Roman" w:hAnsi="Times New Roman"/>
          <w:sz w:val="24"/>
          <w:szCs w:val="24"/>
        </w:rPr>
        <w:t>enja privredne suradnje;</w:t>
      </w:r>
    </w:p>
    <w:p w:rsidR="008D2FBE" w:rsidRPr="00FD0DDD" w:rsidRDefault="008D2FBE" w:rsidP="008D2FBE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DDD">
        <w:rPr>
          <w:rFonts w:ascii="Times New Roman" w:hAnsi="Times New Roman"/>
          <w:sz w:val="24"/>
          <w:szCs w:val="24"/>
        </w:rPr>
        <w:t>poduzimanje svih raspoloživih mjera, shodno ustavnim nadležnostima Unsko-sanskog kantona s ciljem sprije</w:t>
      </w:r>
      <w:r w:rsidR="00781A5B">
        <w:rPr>
          <w:rFonts w:ascii="Times New Roman" w:hAnsi="Times New Roman"/>
          <w:sz w:val="24"/>
          <w:szCs w:val="24"/>
        </w:rPr>
        <w:t>č</w:t>
      </w:r>
      <w:r w:rsidRPr="00FD0DDD">
        <w:rPr>
          <w:rFonts w:ascii="Times New Roman" w:hAnsi="Times New Roman"/>
          <w:sz w:val="24"/>
          <w:szCs w:val="24"/>
        </w:rPr>
        <w:t>avanja odlaganja/skladištenja radioaktivnog i nuklearnog otpada u blizini granice s Bosnom i Hercegovinom.</w:t>
      </w:r>
    </w:p>
    <w:p w:rsidR="005D6384" w:rsidRDefault="00F16CFE" w:rsidP="009B68EB">
      <w:pPr>
        <w:jc w:val="both"/>
        <w:rPr>
          <w:rFonts w:ascii="Times New Roman" w:hAnsi="Times New Roman"/>
          <w:sz w:val="24"/>
          <w:szCs w:val="24"/>
        </w:rPr>
      </w:pPr>
      <w:bookmarkStart w:id="9" w:name="_Hlk517246639"/>
      <w:r w:rsidRPr="00F16CFE">
        <w:rPr>
          <w:rFonts w:ascii="Times New Roman" w:hAnsi="Times New Roman"/>
          <w:sz w:val="24"/>
          <w:szCs w:val="24"/>
        </w:rPr>
        <w:t>Vlada Unsko-sanskog kantona će realizaciju predviđenih programskih aktivnosti raditi poštujući načela:</w:t>
      </w:r>
    </w:p>
    <w:p w:rsidR="00CC664B" w:rsidRDefault="00F16CFE" w:rsidP="009B68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6CFE">
        <w:rPr>
          <w:rFonts w:ascii="Times New Roman" w:hAnsi="Times New Roman"/>
          <w:sz w:val="24"/>
          <w:szCs w:val="24"/>
        </w:rPr>
        <w:t xml:space="preserve"> a) transparentnosti u radu,</w:t>
      </w:r>
    </w:p>
    <w:p w:rsidR="00CC664B" w:rsidRDefault="00F16CFE" w:rsidP="009B68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6CFE">
        <w:rPr>
          <w:rFonts w:ascii="Times New Roman" w:hAnsi="Times New Roman"/>
          <w:sz w:val="24"/>
          <w:szCs w:val="24"/>
        </w:rPr>
        <w:t xml:space="preserve"> b) timskog rada Vlade i Skupštine Kantona,</w:t>
      </w:r>
    </w:p>
    <w:p w:rsidR="00CC664B" w:rsidRDefault="00F16CFE" w:rsidP="009B68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6CFE">
        <w:rPr>
          <w:rFonts w:ascii="Times New Roman" w:hAnsi="Times New Roman"/>
          <w:sz w:val="24"/>
          <w:szCs w:val="24"/>
        </w:rPr>
        <w:t xml:space="preserve"> c) profesionalizma i istrajnosti,</w:t>
      </w:r>
    </w:p>
    <w:p w:rsidR="00F07605" w:rsidRPr="00F16CFE" w:rsidRDefault="00F16CFE" w:rsidP="009B68EB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hr-HR"/>
        </w:rPr>
      </w:pPr>
      <w:r w:rsidRPr="00F16CFE">
        <w:rPr>
          <w:rFonts w:ascii="Times New Roman" w:hAnsi="Times New Roman"/>
          <w:sz w:val="24"/>
          <w:szCs w:val="24"/>
        </w:rPr>
        <w:t xml:space="preserve"> d) socijalne osjetljivosti, pravednosti i odgovornosti.</w:t>
      </w:r>
    </w:p>
    <w:p w:rsidR="004746F9" w:rsidRDefault="004746F9" w:rsidP="005D6384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D0DDD" w:rsidRPr="00DD49C8" w:rsidRDefault="004746F9" w:rsidP="00DD49C8">
      <w:pPr>
        <w:pStyle w:val="Heading1"/>
        <w:rPr>
          <w:rFonts w:ascii="Times New Roman" w:hAnsi="Times New Roman"/>
        </w:rPr>
      </w:pPr>
      <w:bookmarkStart w:id="10" w:name="_Toc9858436"/>
      <w:bookmarkEnd w:id="9"/>
      <w:r w:rsidRPr="00F475EB">
        <w:rPr>
          <w:rFonts w:ascii="Times New Roman" w:hAnsi="Times New Roman"/>
          <w:sz w:val="28"/>
        </w:rPr>
        <w:t>5. PROCJENA PRIHODA BUDŽETA</w:t>
      </w:r>
      <w:bookmarkStart w:id="11" w:name="_Toc422899929"/>
      <w:bookmarkEnd w:id="10"/>
    </w:p>
    <w:p w:rsidR="00FD0DDD" w:rsidRDefault="00FD0DDD" w:rsidP="00FD0DD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  <w:lang w:val="hr-HR"/>
        </w:rPr>
      </w:pPr>
    </w:p>
    <w:p w:rsidR="004746F9" w:rsidRPr="00FD0DDD" w:rsidRDefault="004746F9" w:rsidP="00FD0DD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b/>
          <w:sz w:val="24"/>
          <w:szCs w:val="24"/>
        </w:rPr>
        <w:t>Strukturu javnih prihoda Budžeta Unsko-sanskog kantona čine:</w:t>
      </w:r>
    </w:p>
    <w:p w:rsidR="004746F9" w:rsidRPr="00DC06D7" w:rsidRDefault="004746F9" w:rsidP="004746F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t>prihodi po osnovu indirektnih poreza,</w:t>
      </w:r>
    </w:p>
    <w:p w:rsidR="004746F9" w:rsidRPr="00DC06D7" w:rsidRDefault="004746F9" w:rsidP="004746F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t>prihodi po osnovu direktnih poreza i to</w:t>
      </w:r>
    </w:p>
    <w:p w:rsidR="004746F9" w:rsidRPr="00DC06D7" w:rsidRDefault="004746F9" w:rsidP="004746F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t>porez na dobit,</w:t>
      </w:r>
    </w:p>
    <w:p w:rsidR="004746F9" w:rsidRPr="00DC06D7" w:rsidRDefault="004746F9" w:rsidP="004746F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t>porez na dohodak</w:t>
      </w:r>
    </w:p>
    <w:p w:rsidR="004746F9" w:rsidRPr="00DC06D7" w:rsidRDefault="004746F9" w:rsidP="004746F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t>neporeznih prihoda u vidu :</w:t>
      </w:r>
    </w:p>
    <w:p w:rsidR="004746F9" w:rsidRPr="00DC06D7" w:rsidRDefault="004746F9" w:rsidP="004746F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t>prihoda od poduzetničke aktivnost i imovine</w:t>
      </w:r>
    </w:p>
    <w:p w:rsidR="004746F9" w:rsidRPr="00DC06D7" w:rsidRDefault="004746F9" w:rsidP="004746F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naknade i takse</w:t>
      </w:r>
    </w:p>
    <w:p w:rsidR="004746F9" w:rsidRPr="00DC06D7" w:rsidRDefault="004746F9" w:rsidP="004746F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lastRenderedPageBreak/>
        <w:t>novčane kazne</w:t>
      </w:r>
    </w:p>
    <w:p w:rsidR="004746F9" w:rsidRPr="00DC06D7" w:rsidRDefault="004746F9" w:rsidP="004746F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t>posebne naknade koje se ostvaruju, prikupljaju i raspoređuju prema važećim zakonskim propisima na teritoriji Federacije Bosne i Hercegovine</w:t>
      </w:r>
    </w:p>
    <w:p w:rsidR="004746F9" w:rsidRPr="00FD0DDD" w:rsidRDefault="004746F9" w:rsidP="004746F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t>tekući i kapitalni transfer i donacije</w:t>
      </w:r>
    </w:p>
    <w:p w:rsidR="004746F9" w:rsidRPr="00DC06D7" w:rsidRDefault="004746F9" w:rsidP="004746F9">
      <w:pPr>
        <w:jc w:val="both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t>Imajući u vidu ukupnu  ekonomsku situaciju u kojoj se nalazi Federacija Bosne i Hercegovine i kantoni projekcije prihoda u 201</w:t>
      </w:r>
      <w:r w:rsidR="007018E5">
        <w:rPr>
          <w:rFonts w:ascii="Times New Roman" w:hAnsi="Times New Roman"/>
          <w:sz w:val="24"/>
          <w:szCs w:val="24"/>
        </w:rPr>
        <w:t>9</w:t>
      </w:r>
      <w:r w:rsidRPr="00DC06D7">
        <w:rPr>
          <w:rFonts w:ascii="Times New Roman" w:hAnsi="Times New Roman"/>
          <w:sz w:val="24"/>
          <w:szCs w:val="24"/>
        </w:rPr>
        <w:t>. godini rađene su opreznim pristupom na bazi poznatog prosjećnog koeficijenta raspodjele između entiteta i zvaničnih procjena koje je sačinilo Federalno ministarstvo finansija. Projekcije su također za</w:t>
      </w:r>
      <w:r w:rsidR="00B03F88">
        <w:rPr>
          <w:rFonts w:ascii="Times New Roman" w:hAnsi="Times New Roman"/>
          <w:sz w:val="24"/>
          <w:szCs w:val="24"/>
        </w:rPr>
        <w:t>s</w:t>
      </w:r>
      <w:r w:rsidRPr="00DC06D7">
        <w:rPr>
          <w:rFonts w:ascii="Times New Roman" w:hAnsi="Times New Roman"/>
          <w:sz w:val="24"/>
          <w:szCs w:val="24"/>
        </w:rPr>
        <w:t>novane na historijskom trendu naplate prihoda i predviđanju makroekonomskih pokazatelja u period 20</w:t>
      </w:r>
      <w:r w:rsidR="007018E5">
        <w:rPr>
          <w:rFonts w:ascii="Times New Roman" w:hAnsi="Times New Roman"/>
          <w:sz w:val="24"/>
          <w:szCs w:val="24"/>
        </w:rPr>
        <w:t>20</w:t>
      </w:r>
      <w:r w:rsidRPr="00DC06D7">
        <w:rPr>
          <w:rFonts w:ascii="Times New Roman" w:hAnsi="Times New Roman"/>
          <w:sz w:val="24"/>
          <w:szCs w:val="24"/>
        </w:rPr>
        <w:t>-20</w:t>
      </w:r>
      <w:r w:rsidR="00F73EF5">
        <w:rPr>
          <w:rFonts w:ascii="Times New Roman" w:hAnsi="Times New Roman"/>
          <w:sz w:val="24"/>
          <w:szCs w:val="24"/>
        </w:rPr>
        <w:t>2</w:t>
      </w:r>
      <w:r w:rsidR="00D646EA">
        <w:rPr>
          <w:rFonts w:ascii="Times New Roman" w:hAnsi="Times New Roman"/>
          <w:sz w:val="24"/>
          <w:szCs w:val="24"/>
        </w:rPr>
        <w:t>2</w:t>
      </w:r>
      <w:r w:rsidR="000B4CDA">
        <w:rPr>
          <w:rFonts w:ascii="Times New Roman" w:hAnsi="Times New Roman"/>
          <w:sz w:val="24"/>
          <w:szCs w:val="24"/>
        </w:rPr>
        <w:t xml:space="preserve"> </w:t>
      </w:r>
      <w:r w:rsidRPr="00DC06D7">
        <w:rPr>
          <w:rFonts w:ascii="Times New Roman" w:hAnsi="Times New Roman"/>
          <w:sz w:val="24"/>
          <w:szCs w:val="24"/>
        </w:rPr>
        <w:t>. godina. U obzir su uzeti i efekti kontinuiranog usklađivanja stopa akciza na duhan u BiH sa minimalnim standardima u EU i efekti primjene Sporazuma o slobodnoj trgovini između BiH i EFTA.</w:t>
      </w:r>
    </w:p>
    <w:p w:rsidR="004746F9" w:rsidRPr="00F475EB" w:rsidRDefault="004746F9" w:rsidP="00DD49C8">
      <w:pPr>
        <w:pStyle w:val="Heading2"/>
        <w:rPr>
          <w:rFonts w:ascii="Times New Roman" w:hAnsi="Times New Roman"/>
        </w:rPr>
      </w:pPr>
      <w:bookmarkStart w:id="12" w:name="_Toc9858437"/>
      <w:r w:rsidRPr="00F475EB">
        <w:rPr>
          <w:rFonts w:ascii="Times New Roman" w:hAnsi="Times New Roman"/>
        </w:rPr>
        <w:t>5.1. Prihodi od indirektnih poreza</w:t>
      </w:r>
      <w:bookmarkEnd w:id="11"/>
      <w:bookmarkEnd w:id="12"/>
      <w:r w:rsidRPr="00F475EB">
        <w:rPr>
          <w:rFonts w:ascii="Times New Roman" w:hAnsi="Times New Roman"/>
        </w:rPr>
        <w:t xml:space="preserve"> </w:t>
      </w:r>
    </w:p>
    <w:p w:rsidR="004746F9" w:rsidRPr="00DD49C8" w:rsidRDefault="004746F9" w:rsidP="004746F9">
      <w:pPr>
        <w:pStyle w:val="BodyText2"/>
        <w:ind w:left="360"/>
        <w:rPr>
          <w:sz w:val="28"/>
          <w:szCs w:val="28"/>
        </w:rPr>
      </w:pPr>
    </w:p>
    <w:p w:rsidR="004746F9" w:rsidRDefault="004746F9" w:rsidP="004746F9">
      <w:pPr>
        <w:ind w:firstLine="708"/>
        <w:jc w:val="both"/>
        <w:rPr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t xml:space="preserve">Kriteriji i procentualni odnosi raspodjele javnih prihoda unutar Federacije Bosne i Hercegovine su određeni Zakonom o pripadnosti javnih prihoda u Federaciji BIH („Službene novine Federacije BiH”, br. 22/06, 43/08, 22/09, 35/14 i 94/15). </w:t>
      </w:r>
    </w:p>
    <w:p w:rsidR="004746F9" w:rsidRDefault="004746F9" w:rsidP="004746F9">
      <w:pPr>
        <w:ind w:firstLine="708"/>
        <w:jc w:val="both"/>
        <w:rPr>
          <w:b/>
          <w:bCs/>
          <w:color w:val="000000"/>
          <w:lang w:val="bs-Latn-BA" w:eastAsia="bs-Latn-BA"/>
        </w:rPr>
      </w:pPr>
      <w:r w:rsidRPr="00DC06D7">
        <w:rPr>
          <w:rFonts w:ascii="Times New Roman" w:hAnsi="Times New Roman"/>
          <w:sz w:val="24"/>
          <w:szCs w:val="24"/>
        </w:rPr>
        <w:t>Projekcije prihoda od indirektnih poreza za korisnike u Federaciji Bosne i Hercegovine rađene su prema utvrđenim koeficijentima raspodjele iz Upustva o određivanju učešća kantona, jedinica lokalne samouprave i nadležnih  kantonalnih ustanova za ceste u prihodima od indirektnih poreza i načina raspoređivanja tih prihoda za 201</w:t>
      </w:r>
      <w:r w:rsidR="00D646EA">
        <w:rPr>
          <w:rFonts w:ascii="Times New Roman" w:hAnsi="Times New Roman"/>
          <w:sz w:val="24"/>
          <w:szCs w:val="24"/>
        </w:rPr>
        <w:t>9</w:t>
      </w:r>
      <w:r w:rsidRPr="00DC06D7">
        <w:rPr>
          <w:rFonts w:ascii="Times New Roman" w:hAnsi="Times New Roman"/>
          <w:sz w:val="24"/>
          <w:szCs w:val="24"/>
        </w:rPr>
        <w:t xml:space="preserve">. godišnu objavljenog u  </w:t>
      </w:r>
      <w:r w:rsidR="00944471">
        <w:rPr>
          <w:rFonts w:ascii="Times New Roman" w:hAnsi="Times New Roman"/>
          <w:sz w:val="24"/>
          <w:szCs w:val="24"/>
        </w:rPr>
        <w:t>(</w:t>
      </w:r>
      <w:r w:rsidRPr="00DC06D7">
        <w:rPr>
          <w:rFonts w:ascii="Times New Roman" w:hAnsi="Times New Roman"/>
          <w:sz w:val="24"/>
          <w:szCs w:val="24"/>
        </w:rPr>
        <w:t>„Službenim novinama Federacije BiH“ br</w:t>
      </w:r>
      <w:r w:rsidR="001A1C3B">
        <w:rPr>
          <w:rFonts w:ascii="Times New Roman" w:hAnsi="Times New Roman"/>
          <w:sz w:val="24"/>
          <w:szCs w:val="24"/>
        </w:rPr>
        <w:t>oj:</w:t>
      </w:r>
      <w:r w:rsidR="00D646EA">
        <w:rPr>
          <w:rFonts w:ascii="Times New Roman" w:hAnsi="Times New Roman"/>
          <w:sz w:val="24"/>
          <w:szCs w:val="24"/>
        </w:rPr>
        <w:t xml:space="preserve"> 102/18</w:t>
      </w:r>
      <w:r w:rsidR="00944471">
        <w:rPr>
          <w:rFonts w:ascii="Times New Roman" w:hAnsi="Times New Roman"/>
          <w:sz w:val="24"/>
          <w:szCs w:val="24"/>
        </w:rPr>
        <w:t>)</w:t>
      </w:r>
      <w:r w:rsidRPr="00DC06D7">
        <w:rPr>
          <w:rFonts w:ascii="Times New Roman" w:hAnsi="Times New Roman"/>
          <w:sz w:val="24"/>
          <w:szCs w:val="24"/>
        </w:rPr>
        <w:t>.</w:t>
      </w:r>
    </w:p>
    <w:p w:rsidR="005A0EED" w:rsidRPr="00BF2CE0" w:rsidRDefault="004746F9" w:rsidP="00340AE2">
      <w:pPr>
        <w:pStyle w:val="BodyText2"/>
        <w:rPr>
          <w:i/>
        </w:rPr>
      </w:pPr>
      <w:r w:rsidRPr="00BF2CE0">
        <w:rPr>
          <w:bCs w:val="0"/>
          <w:i/>
          <w:color w:val="000000"/>
          <w:lang w:val="bs-Latn-BA" w:eastAsia="bs-Latn-BA"/>
        </w:rPr>
        <w:t>Tako je utvrđeno učešće</w:t>
      </w:r>
      <w:r w:rsidRPr="00BF2CE0">
        <w:rPr>
          <w:b/>
          <w:bCs w:val="0"/>
          <w:i/>
          <w:color w:val="000000"/>
          <w:lang w:val="bs-Latn-BA" w:eastAsia="bs-Latn-BA"/>
        </w:rPr>
        <w:t xml:space="preserve"> </w:t>
      </w:r>
      <w:r w:rsidRPr="00BF2CE0">
        <w:rPr>
          <w:i/>
        </w:rPr>
        <w:t>Unsko-sanskog kantona u raspodjeli dijela koji pripada kantonima za 201</w:t>
      </w:r>
      <w:r w:rsidR="00C876C3" w:rsidRPr="00BF2CE0">
        <w:rPr>
          <w:i/>
        </w:rPr>
        <w:t>9</w:t>
      </w:r>
      <w:r w:rsidRPr="00BF2CE0">
        <w:rPr>
          <w:i/>
        </w:rPr>
        <w:t>. godinu u iznosu od 10,</w:t>
      </w:r>
      <w:r w:rsidR="005F3F38" w:rsidRPr="00BF2CE0">
        <w:rPr>
          <w:i/>
        </w:rPr>
        <w:t>267</w:t>
      </w:r>
      <w:r w:rsidRPr="00BF2CE0">
        <w:rPr>
          <w:i/>
        </w:rPr>
        <w:t>%.</w:t>
      </w:r>
    </w:p>
    <w:p w:rsidR="004746F9" w:rsidRDefault="004746F9" w:rsidP="004746F9">
      <w:pPr>
        <w:pStyle w:val="BodyText2"/>
        <w:ind w:left="360"/>
        <w:rPr>
          <w:b/>
          <w:bCs w:val="0"/>
          <w:color w:val="000000"/>
          <w:sz w:val="20"/>
          <w:lang w:val="bs-Latn-BA" w:eastAsia="bs-Latn-BA"/>
        </w:rPr>
      </w:pPr>
    </w:p>
    <w:p w:rsidR="004746F9" w:rsidRDefault="004746F9" w:rsidP="004746F9">
      <w:pPr>
        <w:pStyle w:val="BodyText2"/>
        <w:ind w:left="360"/>
        <w:rPr>
          <w:b/>
          <w:bCs w:val="0"/>
          <w:color w:val="000000"/>
          <w:sz w:val="20"/>
          <w:lang w:val="bs-Latn-BA" w:eastAsia="bs-Latn-BA"/>
        </w:rPr>
      </w:pPr>
      <w:r>
        <w:rPr>
          <w:b/>
          <w:bCs w:val="0"/>
          <w:color w:val="000000"/>
          <w:sz w:val="20"/>
          <w:lang w:val="bs-Latn-BA" w:eastAsia="bs-Latn-BA"/>
        </w:rPr>
        <w:t>Tabela :</w:t>
      </w:r>
      <w:r w:rsidRPr="001B6EA4">
        <w:rPr>
          <w:b/>
          <w:bCs w:val="0"/>
          <w:color w:val="000000"/>
          <w:sz w:val="20"/>
          <w:lang w:val="bs-Latn-BA" w:eastAsia="bs-Latn-BA"/>
        </w:rPr>
        <w:t xml:space="preserve"> Revidirane projekcije za 201</w:t>
      </w:r>
      <w:r w:rsidR="005F3F38">
        <w:rPr>
          <w:b/>
          <w:bCs w:val="0"/>
          <w:color w:val="000000"/>
          <w:sz w:val="20"/>
          <w:lang w:val="bs-Latn-BA" w:eastAsia="bs-Latn-BA"/>
        </w:rPr>
        <w:t>9</w:t>
      </w:r>
      <w:r w:rsidRPr="001B6EA4">
        <w:rPr>
          <w:b/>
          <w:bCs w:val="0"/>
          <w:color w:val="000000"/>
          <w:sz w:val="20"/>
          <w:lang w:val="bs-Latn-BA" w:eastAsia="bs-Latn-BA"/>
        </w:rPr>
        <w:t>.g.i projekcije prihoda za period 20</w:t>
      </w:r>
      <w:r w:rsidR="005F3F38">
        <w:rPr>
          <w:b/>
          <w:bCs w:val="0"/>
          <w:color w:val="000000"/>
          <w:sz w:val="20"/>
          <w:lang w:val="bs-Latn-BA" w:eastAsia="bs-Latn-BA"/>
        </w:rPr>
        <w:t>20</w:t>
      </w:r>
      <w:r w:rsidRPr="001B6EA4">
        <w:rPr>
          <w:b/>
          <w:bCs w:val="0"/>
          <w:color w:val="000000"/>
          <w:sz w:val="20"/>
          <w:lang w:val="bs-Latn-BA" w:eastAsia="bs-Latn-BA"/>
        </w:rPr>
        <w:t>-20</w:t>
      </w:r>
      <w:r w:rsidR="00C51D34">
        <w:rPr>
          <w:b/>
          <w:bCs w:val="0"/>
          <w:color w:val="000000"/>
          <w:sz w:val="20"/>
          <w:lang w:val="bs-Latn-BA" w:eastAsia="bs-Latn-BA"/>
        </w:rPr>
        <w:t>2</w:t>
      </w:r>
      <w:r w:rsidR="005F3F38">
        <w:rPr>
          <w:b/>
          <w:bCs w:val="0"/>
          <w:color w:val="000000"/>
          <w:sz w:val="20"/>
          <w:lang w:val="bs-Latn-BA" w:eastAsia="bs-Latn-BA"/>
        </w:rPr>
        <w:t>2</w:t>
      </w:r>
      <w:r w:rsidR="00C51D34">
        <w:rPr>
          <w:b/>
          <w:bCs w:val="0"/>
          <w:color w:val="000000"/>
          <w:sz w:val="20"/>
          <w:lang w:val="bs-Latn-BA" w:eastAsia="bs-Latn-BA"/>
        </w:rPr>
        <w:t>.</w:t>
      </w:r>
      <w:r w:rsidRPr="001B6EA4">
        <w:rPr>
          <w:b/>
          <w:bCs w:val="0"/>
          <w:color w:val="000000"/>
          <w:sz w:val="20"/>
          <w:lang w:val="bs-Latn-BA" w:eastAsia="bs-Latn-BA"/>
        </w:rPr>
        <w:t xml:space="preserve"> godina</w:t>
      </w:r>
    </w:p>
    <w:p w:rsidR="004746F9" w:rsidRPr="001B6EA4" w:rsidRDefault="004746F9" w:rsidP="004746F9">
      <w:pPr>
        <w:pStyle w:val="BodyText2"/>
        <w:ind w:left="360"/>
        <w:rPr>
          <w:sz w:val="32"/>
          <w:szCs w:val="24"/>
        </w:rPr>
      </w:pPr>
    </w:p>
    <w:tbl>
      <w:tblPr>
        <w:tblW w:w="9738" w:type="dxa"/>
        <w:tblInd w:w="-113" w:type="dxa"/>
        <w:tblLook w:val="04A0" w:firstRow="1" w:lastRow="0" w:firstColumn="1" w:lastColumn="0" w:noHBand="0" w:noVBand="1"/>
      </w:tblPr>
      <w:tblGrid>
        <w:gridCol w:w="2548"/>
        <w:gridCol w:w="1438"/>
        <w:gridCol w:w="1438"/>
        <w:gridCol w:w="1438"/>
        <w:gridCol w:w="1438"/>
        <w:gridCol w:w="1438"/>
      </w:tblGrid>
      <w:tr w:rsidR="004746F9" w:rsidRPr="00395F22" w:rsidTr="00FD0DDD">
        <w:trPr>
          <w:trHeight w:val="22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746F9" w:rsidRPr="00FD0DDD" w:rsidRDefault="004746F9" w:rsidP="001F778B">
            <w:pPr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4746F9" w:rsidRPr="00FD0DDD" w:rsidRDefault="004746F9" w:rsidP="002B019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Izvršenje 201</w:t>
            </w:r>
            <w:r w:rsidR="00751C06"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4746F9" w:rsidRPr="00FD0DDD" w:rsidRDefault="004746F9" w:rsidP="002B019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201</w:t>
            </w:r>
            <w:r w:rsidR="00751C06"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746F9" w:rsidRPr="00FD0DDD" w:rsidRDefault="004746F9" w:rsidP="002B019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20</w:t>
            </w:r>
            <w:r w:rsidR="00751C06"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746F9" w:rsidRPr="00FD0DDD" w:rsidRDefault="004746F9" w:rsidP="002B019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20</w:t>
            </w:r>
            <w:r w:rsidR="00395F22"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</w:t>
            </w:r>
            <w:r w:rsidR="00751C06"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746F9" w:rsidRPr="00FD0DDD" w:rsidRDefault="004746F9" w:rsidP="002B0194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20</w:t>
            </w:r>
            <w:r w:rsidR="002B0194"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</w:t>
            </w:r>
            <w:r w:rsidR="00751C06"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</w:t>
            </w:r>
          </w:p>
        </w:tc>
      </w:tr>
      <w:tr w:rsidR="00395F22" w:rsidRPr="00395F22" w:rsidTr="00FD0DDD">
        <w:trPr>
          <w:trHeight w:val="22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95F22" w:rsidRPr="00FD0DDD" w:rsidRDefault="00395F22" w:rsidP="00395F22">
            <w:pPr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Unsko Sanski kanton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171.039.553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177.948.137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95F22" w:rsidRPr="00FD0DDD" w:rsidRDefault="00395F22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1</w:t>
            </w:r>
            <w:r w:rsidR="00751C06"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84.748.708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191.359.629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201.985.561</w:t>
            </w:r>
          </w:p>
        </w:tc>
      </w:tr>
      <w:tr w:rsidR="00395F22" w:rsidRPr="00395F22" w:rsidTr="00FD0DDD">
        <w:trPr>
          <w:trHeight w:val="268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395F22" w:rsidP="00395F22">
            <w:pPr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Kanton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142.362.966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147.967.475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153.748.708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159.119.400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167.955.080</w:t>
            </w:r>
          </w:p>
        </w:tc>
      </w:tr>
      <w:tr w:rsidR="00395F22" w:rsidRPr="00395F22" w:rsidTr="00FD0DDD">
        <w:trPr>
          <w:trHeight w:val="261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395F22" w:rsidP="00395F22">
            <w:pPr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općine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28.676.567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29.980.662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31.152.035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751C06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32.240.227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F22" w:rsidRPr="00FD0DDD" w:rsidRDefault="00C876C3" w:rsidP="00395F22">
            <w:pPr>
              <w:jc w:val="right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FD0DDD">
              <w:rPr>
                <w:rFonts w:ascii="Times New Roman" w:hAnsi="Times New Roman"/>
                <w:b/>
                <w:bCs/>
                <w:sz w:val="18"/>
                <w:szCs w:val="20"/>
              </w:rPr>
              <w:t>34.030.482</w:t>
            </w:r>
          </w:p>
        </w:tc>
      </w:tr>
    </w:tbl>
    <w:p w:rsidR="00575D53" w:rsidRPr="00575D53" w:rsidRDefault="00575D53" w:rsidP="00575D5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0"/>
          <w:szCs w:val="20"/>
          <w:lang w:val="hr-HR" w:eastAsia="hr-HR"/>
        </w:rPr>
      </w:pPr>
      <w:r w:rsidRPr="00575D53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>IZVOR:</w:t>
      </w:r>
      <w:r w:rsidRPr="00575D53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 Projekcije rađene na bazi ukupnog plana prihoda na Jedinstvenom računu, preuzetog od strane Odjeljenja za makroekonomsku analizu Upravnog odbora Uprave za indirektno oporezivanje (OMA), april 201</w:t>
      </w:r>
      <w:r w:rsidR="00D646EA">
        <w:rPr>
          <w:rFonts w:ascii="Times New Roman" w:eastAsia="Times New Roman" w:hAnsi="Times New Roman"/>
          <w:sz w:val="20"/>
          <w:szCs w:val="20"/>
          <w:lang w:val="hr-HR" w:eastAsia="hr-HR"/>
        </w:rPr>
        <w:t>9</w:t>
      </w:r>
      <w:r w:rsidRPr="00575D53">
        <w:rPr>
          <w:rFonts w:ascii="Times New Roman" w:eastAsia="Times New Roman" w:hAnsi="Times New Roman"/>
          <w:sz w:val="20"/>
          <w:szCs w:val="20"/>
          <w:lang w:val="hr-HR" w:eastAsia="hr-HR"/>
        </w:rPr>
        <w:t>. godine.</w:t>
      </w:r>
    </w:p>
    <w:p w:rsidR="00575D53" w:rsidRPr="00395F22" w:rsidRDefault="00575D53" w:rsidP="00575D53">
      <w:pPr>
        <w:ind w:left="708"/>
        <w:jc w:val="both"/>
        <w:rPr>
          <w:rFonts w:ascii="Times New Roman" w:hAnsi="Times New Roman"/>
          <w:vanish/>
          <w:sz w:val="20"/>
          <w:szCs w:val="20"/>
        </w:rPr>
      </w:pPr>
    </w:p>
    <w:p w:rsidR="004746F9" w:rsidRPr="00395F22" w:rsidRDefault="004746F9" w:rsidP="00575D53">
      <w:pPr>
        <w:pStyle w:val="BodyText2"/>
        <w:ind w:left="1068"/>
        <w:rPr>
          <w:sz w:val="20"/>
          <w:szCs w:val="20"/>
        </w:rPr>
      </w:pPr>
    </w:p>
    <w:p w:rsidR="004746F9" w:rsidRPr="00DC06D7" w:rsidRDefault="004746F9" w:rsidP="004746F9">
      <w:pPr>
        <w:pStyle w:val="BodyText2"/>
        <w:rPr>
          <w:szCs w:val="24"/>
        </w:rPr>
      </w:pPr>
      <w:r w:rsidRPr="00DC06D7">
        <w:rPr>
          <w:szCs w:val="24"/>
        </w:rPr>
        <w:t>Bruto naplata prihoda od indirektnih poreza za kanton planira se za 201</w:t>
      </w:r>
      <w:r w:rsidR="001A1C3B">
        <w:rPr>
          <w:szCs w:val="24"/>
        </w:rPr>
        <w:t>9</w:t>
      </w:r>
      <w:r w:rsidRPr="00DC06D7">
        <w:rPr>
          <w:szCs w:val="24"/>
        </w:rPr>
        <w:t xml:space="preserve">. godinu u iznosu od </w:t>
      </w:r>
      <w:r w:rsidR="001A1C3B">
        <w:rPr>
          <w:szCs w:val="24"/>
        </w:rPr>
        <w:t>177.948.137</w:t>
      </w:r>
      <w:r w:rsidR="00944471">
        <w:rPr>
          <w:szCs w:val="24"/>
        </w:rPr>
        <w:t xml:space="preserve"> </w:t>
      </w:r>
      <w:r w:rsidR="00511D6B">
        <w:rPr>
          <w:szCs w:val="24"/>
        </w:rPr>
        <w:t xml:space="preserve"> KM, što je za </w:t>
      </w:r>
      <w:r w:rsidR="00700DB7">
        <w:rPr>
          <w:szCs w:val="24"/>
        </w:rPr>
        <w:t>4</w:t>
      </w:r>
      <w:r w:rsidR="00334C5F">
        <w:rPr>
          <w:szCs w:val="24"/>
        </w:rPr>
        <w:t>,</w:t>
      </w:r>
      <w:r w:rsidR="00700DB7">
        <w:rPr>
          <w:szCs w:val="24"/>
        </w:rPr>
        <w:t>03</w:t>
      </w:r>
      <w:r w:rsidRPr="00DC06D7">
        <w:rPr>
          <w:szCs w:val="24"/>
        </w:rPr>
        <w:t xml:space="preserve">% </w:t>
      </w:r>
      <w:r w:rsidR="00334C5F">
        <w:rPr>
          <w:szCs w:val="24"/>
        </w:rPr>
        <w:t>veće</w:t>
      </w:r>
      <w:r w:rsidRPr="00DC06D7">
        <w:rPr>
          <w:szCs w:val="24"/>
        </w:rPr>
        <w:t xml:space="preserve"> u odnosu na izvršenje 201</w:t>
      </w:r>
      <w:r w:rsidR="001A1C3B">
        <w:rPr>
          <w:szCs w:val="24"/>
        </w:rPr>
        <w:t>8</w:t>
      </w:r>
      <w:r w:rsidRPr="00DC06D7">
        <w:rPr>
          <w:szCs w:val="24"/>
        </w:rPr>
        <w:t xml:space="preserve">. godine, od toga kantonu pripada </w:t>
      </w:r>
      <w:r w:rsidR="001A1C3B">
        <w:rPr>
          <w:szCs w:val="24"/>
        </w:rPr>
        <w:t>147</w:t>
      </w:r>
      <w:r w:rsidR="00334C5F">
        <w:rPr>
          <w:szCs w:val="24"/>
        </w:rPr>
        <w:t>,9</w:t>
      </w:r>
      <w:r w:rsidR="001A1C3B">
        <w:rPr>
          <w:szCs w:val="24"/>
        </w:rPr>
        <w:t>7</w:t>
      </w:r>
      <w:r w:rsidRPr="00DC06D7">
        <w:rPr>
          <w:szCs w:val="24"/>
        </w:rPr>
        <w:t xml:space="preserve"> mil KM i općine 2</w:t>
      </w:r>
      <w:r w:rsidR="001A1C3B">
        <w:rPr>
          <w:szCs w:val="24"/>
        </w:rPr>
        <w:t>9</w:t>
      </w:r>
      <w:r w:rsidRPr="00DC06D7">
        <w:rPr>
          <w:szCs w:val="24"/>
        </w:rPr>
        <w:t>,</w:t>
      </w:r>
      <w:r w:rsidR="001A1C3B">
        <w:rPr>
          <w:szCs w:val="24"/>
        </w:rPr>
        <w:t>98</w:t>
      </w:r>
      <w:r w:rsidRPr="00DC06D7">
        <w:rPr>
          <w:szCs w:val="24"/>
        </w:rPr>
        <w:t xml:space="preserve"> mil KM</w:t>
      </w:r>
      <w:r w:rsidR="00511D6B">
        <w:rPr>
          <w:szCs w:val="24"/>
        </w:rPr>
        <w:t>.</w:t>
      </w:r>
      <w:r w:rsidRPr="00DC06D7">
        <w:rPr>
          <w:szCs w:val="24"/>
        </w:rPr>
        <w:t xml:space="preserve">    </w:t>
      </w:r>
    </w:p>
    <w:p w:rsidR="004746F9" w:rsidRPr="00DC06D7" w:rsidRDefault="004746F9" w:rsidP="004746F9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DC06D7">
        <w:rPr>
          <w:rFonts w:ascii="Times New Roman" w:hAnsi="Times New Roman"/>
          <w:sz w:val="24"/>
          <w:szCs w:val="24"/>
          <w:lang w:val="fr-FR"/>
        </w:rPr>
        <w:t>Raspodjelom prihoda od indirektnih poreza sa jedinstvenog računa za 20</w:t>
      </w:r>
      <w:r w:rsidR="001A1C3B">
        <w:rPr>
          <w:rFonts w:ascii="Times New Roman" w:hAnsi="Times New Roman"/>
          <w:sz w:val="24"/>
          <w:szCs w:val="24"/>
          <w:lang w:val="fr-FR"/>
        </w:rPr>
        <w:t>20</w:t>
      </w:r>
      <w:r w:rsidRPr="00DC06D7">
        <w:rPr>
          <w:rFonts w:ascii="Times New Roman" w:hAnsi="Times New Roman"/>
          <w:sz w:val="24"/>
          <w:szCs w:val="24"/>
          <w:lang w:val="fr-FR"/>
        </w:rPr>
        <w:t xml:space="preserve">. godinu           konsolidovano za Unsko – sanski kanton očekuje se  iznos od  </w:t>
      </w:r>
      <w:r w:rsidR="00334C5F">
        <w:rPr>
          <w:rFonts w:ascii="Times New Roman" w:hAnsi="Times New Roman"/>
          <w:sz w:val="24"/>
          <w:szCs w:val="24"/>
          <w:lang w:val="fr-FR"/>
        </w:rPr>
        <w:t>1</w:t>
      </w:r>
      <w:r w:rsidR="001A1C3B">
        <w:rPr>
          <w:rFonts w:ascii="Times New Roman" w:hAnsi="Times New Roman"/>
          <w:sz w:val="24"/>
          <w:szCs w:val="24"/>
          <w:lang w:val="fr-FR"/>
        </w:rPr>
        <w:t>84.762.728</w:t>
      </w:r>
      <w:r w:rsidR="009146AE">
        <w:rPr>
          <w:rFonts w:ascii="Times New Roman" w:hAnsi="Times New Roman"/>
          <w:sz w:val="24"/>
          <w:szCs w:val="24"/>
          <w:lang w:val="fr-FR"/>
        </w:rPr>
        <w:t xml:space="preserve"> KM</w:t>
      </w:r>
      <w:r w:rsidRPr="00DC06D7">
        <w:rPr>
          <w:rFonts w:ascii="Times New Roman" w:hAnsi="Times New Roman"/>
          <w:sz w:val="24"/>
          <w:szCs w:val="24"/>
          <w:lang w:val="fr-FR"/>
        </w:rPr>
        <w:t xml:space="preserve">, od čega kantonu pripada </w:t>
      </w:r>
      <w:r w:rsidR="00334C5F">
        <w:rPr>
          <w:rFonts w:ascii="Times New Roman" w:hAnsi="Times New Roman"/>
          <w:sz w:val="24"/>
          <w:szCs w:val="24"/>
          <w:lang w:val="fr-FR"/>
        </w:rPr>
        <w:t>1</w:t>
      </w:r>
      <w:r w:rsidR="001A1C3B">
        <w:rPr>
          <w:rFonts w:ascii="Times New Roman" w:hAnsi="Times New Roman"/>
          <w:sz w:val="24"/>
          <w:szCs w:val="24"/>
          <w:lang w:val="fr-FR"/>
        </w:rPr>
        <w:t>53</w:t>
      </w:r>
      <w:r w:rsidR="00334C5F">
        <w:rPr>
          <w:rFonts w:ascii="Times New Roman" w:hAnsi="Times New Roman"/>
          <w:sz w:val="24"/>
          <w:szCs w:val="24"/>
          <w:lang w:val="fr-FR"/>
        </w:rPr>
        <w:t>.</w:t>
      </w:r>
      <w:r w:rsidR="001A1C3B">
        <w:rPr>
          <w:rFonts w:ascii="Times New Roman" w:hAnsi="Times New Roman"/>
          <w:sz w:val="24"/>
          <w:szCs w:val="24"/>
          <w:lang w:val="fr-FR"/>
        </w:rPr>
        <w:t>785.324</w:t>
      </w:r>
      <w:r w:rsidR="009146A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C06D7">
        <w:rPr>
          <w:rFonts w:ascii="Times New Roman" w:hAnsi="Times New Roman"/>
          <w:sz w:val="24"/>
          <w:szCs w:val="24"/>
          <w:lang w:val="fr-FR"/>
        </w:rPr>
        <w:t xml:space="preserve">KM, a za općine </w:t>
      </w:r>
      <w:r w:rsidR="001A1C3B">
        <w:rPr>
          <w:rFonts w:ascii="Times New Roman" w:hAnsi="Times New Roman"/>
          <w:sz w:val="24"/>
          <w:szCs w:val="24"/>
          <w:lang w:val="fr-FR"/>
        </w:rPr>
        <w:t>30.977.4404</w:t>
      </w:r>
      <w:r w:rsidRPr="00DC06D7">
        <w:rPr>
          <w:rFonts w:ascii="Times New Roman" w:hAnsi="Times New Roman"/>
          <w:sz w:val="24"/>
          <w:szCs w:val="24"/>
          <w:lang w:val="fr-FR"/>
        </w:rPr>
        <w:t xml:space="preserve"> KM.</w:t>
      </w:r>
      <w:r w:rsidR="009146A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DC06D7">
        <w:rPr>
          <w:rFonts w:ascii="Times New Roman" w:hAnsi="Times New Roman"/>
          <w:sz w:val="24"/>
          <w:szCs w:val="24"/>
          <w:lang w:val="fr-FR"/>
        </w:rPr>
        <w:t>Projekcije prihoda konsolidirano za 20</w:t>
      </w:r>
      <w:r w:rsidR="00277A54">
        <w:rPr>
          <w:rFonts w:ascii="Times New Roman" w:hAnsi="Times New Roman"/>
          <w:sz w:val="24"/>
          <w:szCs w:val="24"/>
          <w:lang w:val="fr-FR"/>
        </w:rPr>
        <w:t>2</w:t>
      </w:r>
      <w:r w:rsidR="001A1C3B">
        <w:rPr>
          <w:rFonts w:ascii="Times New Roman" w:hAnsi="Times New Roman"/>
          <w:sz w:val="24"/>
          <w:szCs w:val="24"/>
          <w:lang w:val="fr-FR"/>
        </w:rPr>
        <w:t>1</w:t>
      </w:r>
      <w:r w:rsidR="009146AE">
        <w:rPr>
          <w:rFonts w:ascii="Times New Roman" w:hAnsi="Times New Roman"/>
          <w:sz w:val="24"/>
          <w:szCs w:val="24"/>
          <w:lang w:val="fr-FR"/>
        </w:rPr>
        <w:t>. i 202</w:t>
      </w:r>
      <w:r w:rsidR="001A1C3B">
        <w:rPr>
          <w:rFonts w:ascii="Times New Roman" w:hAnsi="Times New Roman"/>
          <w:sz w:val="24"/>
          <w:szCs w:val="24"/>
          <w:lang w:val="fr-FR"/>
        </w:rPr>
        <w:t>2</w:t>
      </w:r>
      <w:r w:rsidRPr="00DC06D7">
        <w:rPr>
          <w:rFonts w:ascii="Times New Roman" w:hAnsi="Times New Roman"/>
          <w:sz w:val="24"/>
          <w:szCs w:val="24"/>
          <w:lang w:val="fr-FR"/>
        </w:rPr>
        <w:t xml:space="preserve">. godinu iznose </w:t>
      </w:r>
      <w:r w:rsidR="001A1C3B">
        <w:rPr>
          <w:rFonts w:ascii="Times New Roman" w:hAnsi="Times New Roman"/>
          <w:sz w:val="24"/>
          <w:szCs w:val="24"/>
          <w:lang w:val="fr-FR"/>
        </w:rPr>
        <w:t>191.359.629</w:t>
      </w:r>
      <w:r w:rsidRPr="00DC06D7">
        <w:rPr>
          <w:rFonts w:ascii="Times New Roman" w:hAnsi="Times New Roman"/>
          <w:sz w:val="24"/>
          <w:szCs w:val="24"/>
          <w:lang w:val="fr-FR"/>
        </w:rPr>
        <w:t xml:space="preserve"> KM </w:t>
      </w:r>
      <w:r w:rsidR="009146AE">
        <w:rPr>
          <w:rFonts w:ascii="Times New Roman" w:hAnsi="Times New Roman"/>
          <w:sz w:val="24"/>
          <w:szCs w:val="24"/>
          <w:lang w:val="fr-FR"/>
        </w:rPr>
        <w:t xml:space="preserve">, odnosno  </w:t>
      </w:r>
      <w:r w:rsidR="001A1C3B">
        <w:rPr>
          <w:rFonts w:ascii="Times New Roman" w:hAnsi="Times New Roman"/>
          <w:sz w:val="24"/>
          <w:szCs w:val="24"/>
          <w:lang w:val="fr-FR"/>
        </w:rPr>
        <w:t>201.985.561</w:t>
      </w:r>
      <w:r w:rsidRPr="00DC06D7">
        <w:rPr>
          <w:rFonts w:ascii="Times New Roman" w:hAnsi="Times New Roman"/>
          <w:sz w:val="24"/>
          <w:szCs w:val="24"/>
          <w:lang w:val="fr-FR"/>
        </w:rPr>
        <w:t xml:space="preserve"> KM.</w:t>
      </w:r>
      <w:bookmarkStart w:id="13" w:name="_Toc422899930"/>
    </w:p>
    <w:p w:rsidR="004746F9" w:rsidRPr="00AD06D2" w:rsidRDefault="004746F9" w:rsidP="00DD49C8">
      <w:pPr>
        <w:pStyle w:val="Heading2"/>
        <w:rPr>
          <w:rFonts w:ascii="Times New Roman" w:hAnsi="Times New Roman"/>
        </w:rPr>
      </w:pPr>
      <w:bookmarkStart w:id="14" w:name="_Toc9858438"/>
      <w:r w:rsidRPr="00AD06D2">
        <w:rPr>
          <w:rFonts w:ascii="Times New Roman" w:hAnsi="Times New Roman"/>
        </w:rPr>
        <w:t>5.2. Prihodi od direktnih poreza</w:t>
      </w:r>
      <w:bookmarkEnd w:id="13"/>
      <w:bookmarkEnd w:id="14"/>
    </w:p>
    <w:p w:rsidR="00415D31" w:rsidRDefault="004746F9" w:rsidP="00415D31">
      <w:pPr>
        <w:ind w:firstLine="720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Projekcija prihoda od direktnih poreza, u koje se ubrajaju porez na dohodak i porez na dobit, rađena je po ustaljenoj metodologiji,</w:t>
      </w:r>
      <w:r w:rsidR="00781A5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prateći </w:t>
      </w:r>
      <w:r w:rsidRPr="00DC06D7">
        <w:rPr>
          <w:rFonts w:ascii="Times New Roman" w:hAnsi="Times New Roman"/>
          <w:sz w:val="24"/>
          <w:szCs w:val="24"/>
        </w:rPr>
        <w:t>makroekonomske pokazatelje (</w:t>
      </w:r>
      <w:r w:rsidR="00B03F88">
        <w:rPr>
          <w:rFonts w:ascii="Times New Roman" w:hAnsi="Times New Roman"/>
          <w:sz w:val="24"/>
          <w:szCs w:val="24"/>
        </w:rPr>
        <w:t>BDP</w:t>
      </w:r>
      <w:r w:rsidRPr="00DC06D7">
        <w:rPr>
          <w:rFonts w:ascii="Times New Roman" w:hAnsi="Times New Roman"/>
          <w:sz w:val="24"/>
          <w:szCs w:val="24"/>
        </w:rPr>
        <w:t>-</w:t>
      </w:r>
      <w:r w:rsidRPr="00DC06D7">
        <w:rPr>
          <w:rFonts w:ascii="Times New Roman" w:hAnsi="Times New Roman"/>
          <w:sz w:val="24"/>
          <w:szCs w:val="24"/>
        </w:rPr>
        <w:lastRenderedPageBreak/>
        <w:t>nominalni i rea</w:t>
      </w:r>
      <w:r w:rsidR="00B03F88">
        <w:rPr>
          <w:rFonts w:ascii="Times New Roman" w:hAnsi="Times New Roman"/>
          <w:sz w:val="24"/>
          <w:szCs w:val="24"/>
        </w:rPr>
        <w:t>l</w:t>
      </w:r>
      <w:r w:rsidRPr="00DC06D7">
        <w:rPr>
          <w:rFonts w:ascii="Times New Roman" w:hAnsi="Times New Roman"/>
          <w:sz w:val="24"/>
          <w:szCs w:val="24"/>
        </w:rPr>
        <w:t xml:space="preserve">ni rast </w:t>
      </w:r>
      <w:r w:rsidR="00B03F88">
        <w:rPr>
          <w:rFonts w:ascii="Times New Roman" w:hAnsi="Times New Roman"/>
          <w:sz w:val="24"/>
          <w:szCs w:val="24"/>
        </w:rPr>
        <w:t>BDP</w:t>
      </w:r>
      <w:r w:rsidRPr="00DC06D7">
        <w:rPr>
          <w:rFonts w:ascii="Times New Roman" w:hAnsi="Times New Roman"/>
          <w:sz w:val="24"/>
          <w:szCs w:val="24"/>
        </w:rPr>
        <w:t xml:space="preserve">-a, </w:t>
      </w:r>
      <w:r w:rsidRPr="00DC06D7">
        <w:rPr>
          <w:rFonts w:ascii="Times New Roman" w:hAnsi="Times New Roman"/>
          <w:bCs/>
          <w:sz w:val="24"/>
          <w:szCs w:val="24"/>
        </w:rPr>
        <w:t>inflacija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 w:rsidRPr="00DC06D7">
        <w:rPr>
          <w:rFonts w:ascii="Times New Roman" w:hAnsi="Times New Roman"/>
          <w:bCs/>
          <w:sz w:val="24"/>
          <w:szCs w:val="24"/>
        </w:rPr>
        <w:t>potro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>š</w:t>
      </w:r>
      <w:r w:rsidRPr="00DC06D7">
        <w:rPr>
          <w:rFonts w:ascii="Times New Roman" w:hAnsi="Times New Roman"/>
          <w:bCs/>
          <w:sz w:val="24"/>
          <w:szCs w:val="24"/>
        </w:rPr>
        <w:t>nja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 w:rsidRPr="00DC06D7">
        <w:rPr>
          <w:rFonts w:ascii="Times New Roman" w:hAnsi="Times New Roman"/>
          <w:bCs/>
          <w:sz w:val="24"/>
          <w:szCs w:val="24"/>
        </w:rPr>
        <w:t>investicije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), </w:t>
      </w:r>
      <w:r w:rsidRPr="00DC06D7">
        <w:rPr>
          <w:rFonts w:ascii="Times New Roman" w:hAnsi="Times New Roman"/>
          <w:bCs/>
          <w:sz w:val="24"/>
          <w:szCs w:val="24"/>
        </w:rPr>
        <w:t>uz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pra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>ć</w:t>
      </w:r>
      <w:r w:rsidRPr="00DC06D7">
        <w:rPr>
          <w:rFonts w:ascii="Times New Roman" w:hAnsi="Times New Roman"/>
          <w:bCs/>
          <w:sz w:val="24"/>
          <w:szCs w:val="24"/>
        </w:rPr>
        <w:t>enje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godišnjih i sezonskih </w:t>
      </w:r>
      <w:r w:rsidRPr="00DC06D7">
        <w:rPr>
          <w:rFonts w:ascii="Times New Roman" w:hAnsi="Times New Roman"/>
          <w:bCs/>
          <w:sz w:val="24"/>
          <w:szCs w:val="24"/>
        </w:rPr>
        <w:t>trendova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ostvarenja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prihoda </w:t>
      </w:r>
      <w:r w:rsidRPr="00DC06D7">
        <w:rPr>
          <w:rFonts w:ascii="Times New Roman" w:hAnsi="Times New Roman"/>
          <w:bCs/>
          <w:sz w:val="24"/>
          <w:szCs w:val="24"/>
        </w:rPr>
        <w:t>u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prethodnim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godinama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i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izmjena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propisa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koji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tretiraju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odre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>đ</w:t>
      </w:r>
      <w:r w:rsidRPr="00DC06D7">
        <w:rPr>
          <w:rFonts w:ascii="Times New Roman" w:hAnsi="Times New Roman"/>
          <w:bCs/>
          <w:sz w:val="24"/>
          <w:szCs w:val="24"/>
        </w:rPr>
        <w:t>ene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bCs/>
          <w:sz w:val="24"/>
          <w:szCs w:val="24"/>
        </w:rPr>
        <w:t>oblasti</w:t>
      </w:r>
      <w:r w:rsidRPr="00DC06D7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4746F9" w:rsidRPr="00DD49C8" w:rsidRDefault="004746F9" w:rsidP="00DD49C8">
      <w:pPr>
        <w:pStyle w:val="Heading4"/>
        <w:rPr>
          <w:rFonts w:ascii="Times New Roman" w:hAnsi="Times New Roman" w:cs="Times New Roman"/>
          <w:sz w:val="24"/>
          <w:szCs w:val="24"/>
          <w:lang w:val="hr-HR"/>
        </w:rPr>
      </w:pPr>
      <w:bookmarkStart w:id="15" w:name="_Toc9858439"/>
      <w:r w:rsidRPr="00DD49C8">
        <w:rPr>
          <w:rFonts w:ascii="Times New Roman" w:hAnsi="Times New Roman" w:cs="Times New Roman"/>
          <w:sz w:val="24"/>
          <w:szCs w:val="24"/>
          <w:lang w:val="hr-HR"/>
        </w:rPr>
        <w:t>5.2.1.Porez na dohodak</w:t>
      </w:r>
      <w:bookmarkEnd w:id="15"/>
    </w:p>
    <w:p w:rsidR="004746F9" w:rsidRPr="00DC06D7" w:rsidRDefault="004746F9" w:rsidP="004746F9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Plan prihoda po osnovu poreza na dohodak također je rađen na bazi historijskog trenda ostvarenja i procjena kretanja makroekonomskih pokazatelja preuzetih od Direkcije za ekonomsko planiranje ( DEP-a) pod pretpostavkom da neće doći do izmjena poreznih politika.</w:t>
      </w:r>
    </w:p>
    <w:p w:rsidR="005A0EED" w:rsidRDefault="004746F9" w:rsidP="004746F9">
      <w:pPr>
        <w:ind w:firstLine="720"/>
        <w:jc w:val="both"/>
        <w:rPr>
          <w:rFonts w:ascii="Times New Roman" w:hAnsi="Times New Roman"/>
          <w:b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Napominjemo da ukupne projekcije poreza na dohodak uključuju povrate po osnovu više uplaćenog poreza na dohodak, na osnovu podataka Porezne uprave o broju zahtjeva i rješenja za povrat za 201</w:t>
      </w:r>
      <w:r w:rsidR="00751C06">
        <w:rPr>
          <w:rFonts w:ascii="Times New Roman" w:hAnsi="Times New Roman"/>
          <w:sz w:val="24"/>
          <w:szCs w:val="24"/>
          <w:lang w:val="hr-HR"/>
        </w:rPr>
        <w:t>8</w:t>
      </w:r>
      <w:r w:rsidRPr="00DC06D7">
        <w:rPr>
          <w:rFonts w:ascii="Times New Roman" w:hAnsi="Times New Roman"/>
          <w:sz w:val="24"/>
          <w:szCs w:val="24"/>
          <w:lang w:val="hr-HR"/>
        </w:rPr>
        <w:t>.godinu.</w:t>
      </w:r>
    </w:p>
    <w:p w:rsidR="004746F9" w:rsidRPr="00DC06D7" w:rsidRDefault="004746F9" w:rsidP="004746F9">
      <w:pPr>
        <w:ind w:firstLine="720"/>
        <w:jc w:val="both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Tabela :</w:t>
      </w:r>
      <w:r w:rsidRPr="00DC06D7">
        <w:rPr>
          <w:rFonts w:ascii="Times New Roman" w:hAnsi="Times New Roman"/>
        </w:rPr>
        <w:t xml:space="preserve"> </w:t>
      </w:r>
      <w:r w:rsidRPr="00DC06D7">
        <w:rPr>
          <w:rFonts w:ascii="Times New Roman" w:hAnsi="Times New Roman"/>
          <w:b/>
          <w:szCs w:val="24"/>
          <w:lang w:val="hr-HR"/>
        </w:rPr>
        <w:t xml:space="preserve">Revidirane projekcije prihoda poreza na dohodak za </w:t>
      </w:r>
      <w:r w:rsidR="003218A6">
        <w:rPr>
          <w:rFonts w:ascii="Times New Roman" w:hAnsi="Times New Roman"/>
          <w:b/>
          <w:szCs w:val="24"/>
          <w:lang w:val="hr-HR"/>
        </w:rPr>
        <w:t>za 201</w:t>
      </w:r>
      <w:r w:rsidR="000B5AAE">
        <w:rPr>
          <w:rFonts w:ascii="Times New Roman" w:hAnsi="Times New Roman"/>
          <w:b/>
          <w:szCs w:val="24"/>
          <w:lang w:val="hr-HR"/>
        </w:rPr>
        <w:t>9</w:t>
      </w:r>
      <w:r w:rsidR="003218A6">
        <w:rPr>
          <w:rFonts w:ascii="Times New Roman" w:hAnsi="Times New Roman"/>
          <w:b/>
          <w:szCs w:val="24"/>
          <w:lang w:val="hr-HR"/>
        </w:rPr>
        <w:t xml:space="preserve">. godinu , te plan za </w:t>
      </w:r>
      <w:r w:rsidRPr="00DC06D7">
        <w:rPr>
          <w:rFonts w:ascii="Times New Roman" w:hAnsi="Times New Roman"/>
          <w:b/>
          <w:szCs w:val="24"/>
          <w:lang w:val="hr-HR"/>
        </w:rPr>
        <w:t>period 20</w:t>
      </w:r>
      <w:r w:rsidR="000B5AAE">
        <w:rPr>
          <w:rFonts w:ascii="Times New Roman" w:hAnsi="Times New Roman"/>
          <w:b/>
          <w:szCs w:val="24"/>
          <w:lang w:val="hr-HR"/>
        </w:rPr>
        <w:t>20</w:t>
      </w:r>
      <w:r>
        <w:rPr>
          <w:rFonts w:ascii="Times New Roman" w:hAnsi="Times New Roman"/>
          <w:b/>
          <w:szCs w:val="24"/>
          <w:lang w:val="hr-HR"/>
        </w:rPr>
        <w:t xml:space="preserve">. </w:t>
      </w:r>
      <w:r w:rsidRPr="00DC06D7">
        <w:rPr>
          <w:rFonts w:ascii="Times New Roman" w:hAnsi="Times New Roman"/>
          <w:b/>
          <w:szCs w:val="24"/>
          <w:lang w:val="hr-HR"/>
        </w:rPr>
        <w:t>-</w:t>
      </w:r>
      <w:r>
        <w:rPr>
          <w:rFonts w:ascii="Times New Roman" w:hAnsi="Times New Roman"/>
          <w:b/>
          <w:szCs w:val="24"/>
          <w:lang w:val="hr-HR"/>
        </w:rPr>
        <w:t xml:space="preserve"> </w:t>
      </w:r>
      <w:r w:rsidR="003218A6">
        <w:rPr>
          <w:rFonts w:ascii="Times New Roman" w:hAnsi="Times New Roman"/>
          <w:b/>
          <w:szCs w:val="24"/>
          <w:lang w:val="hr-HR"/>
        </w:rPr>
        <w:t>202</w:t>
      </w:r>
      <w:r w:rsidR="000B5AAE">
        <w:rPr>
          <w:rFonts w:ascii="Times New Roman" w:hAnsi="Times New Roman"/>
          <w:b/>
          <w:szCs w:val="24"/>
          <w:lang w:val="hr-HR"/>
        </w:rPr>
        <w:t>2</w:t>
      </w:r>
      <w:r>
        <w:rPr>
          <w:rFonts w:ascii="Times New Roman" w:hAnsi="Times New Roman"/>
          <w:b/>
          <w:szCs w:val="24"/>
          <w:lang w:val="hr-HR"/>
        </w:rPr>
        <w:t>.</w:t>
      </w:r>
    </w:p>
    <w:tbl>
      <w:tblPr>
        <w:tblW w:w="8433" w:type="dxa"/>
        <w:tblInd w:w="490" w:type="dxa"/>
        <w:tblLook w:val="04A0" w:firstRow="1" w:lastRow="0" w:firstColumn="1" w:lastColumn="0" w:noHBand="0" w:noVBand="1"/>
      </w:tblPr>
      <w:tblGrid>
        <w:gridCol w:w="2633"/>
        <w:gridCol w:w="1160"/>
        <w:gridCol w:w="1160"/>
        <w:gridCol w:w="1160"/>
        <w:gridCol w:w="1160"/>
        <w:gridCol w:w="1160"/>
      </w:tblGrid>
      <w:tr w:rsidR="004746F9" w:rsidRPr="00DC06D7" w:rsidTr="001F778B">
        <w:trPr>
          <w:trHeight w:val="270"/>
        </w:trPr>
        <w:tc>
          <w:tcPr>
            <w:tcW w:w="2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jc w:val="center"/>
              <w:rPr>
                <w:rFonts w:ascii="Times New Roman" w:hAnsi="Times New Roman"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sz w:val="16"/>
                <w:szCs w:val="16"/>
                <w:lang w:val="bs-Latn-BA" w:eastAsia="hr-HR"/>
              </w:rPr>
              <w:t>Vrsta prihoda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bs-Latn-BA" w:eastAsia="hr-HR"/>
              </w:rPr>
              <w:t>izvršenje</w:t>
            </w:r>
          </w:p>
        </w:tc>
        <w:tc>
          <w:tcPr>
            <w:tcW w:w="4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bs-Latn-BA" w:eastAsia="hr-HR"/>
              </w:rPr>
              <w:t>projekcije</w:t>
            </w:r>
          </w:p>
        </w:tc>
      </w:tr>
      <w:tr w:rsidR="004746F9" w:rsidRPr="00DC06D7" w:rsidTr="001F778B">
        <w:trPr>
          <w:trHeight w:val="270"/>
        </w:trPr>
        <w:tc>
          <w:tcPr>
            <w:tcW w:w="2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6F9" w:rsidRPr="00DC06D7" w:rsidRDefault="004746F9" w:rsidP="001F778B">
            <w:pPr>
              <w:rPr>
                <w:rFonts w:ascii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46F9" w:rsidRPr="00DC06D7" w:rsidRDefault="004746F9" w:rsidP="003218A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bs-Latn-BA" w:eastAsia="hr-HR"/>
              </w:rPr>
              <w:t>201</w:t>
            </w:r>
            <w:r w:rsidR="000B5AAE">
              <w:rPr>
                <w:rFonts w:ascii="Times New Roman" w:hAnsi="Times New Roman"/>
                <w:b/>
                <w:bCs/>
                <w:sz w:val="16"/>
                <w:szCs w:val="16"/>
                <w:lang w:val="bs-Latn-BA" w:eastAsia="hr-HR"/>
              </w:rPr>
              <w:t>8.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F9" w:rsidRPr="00DC06D7" w:rsidRDefault="004746F9" w:rsidP="001F778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2</w:t>
            </w:r>
            <w:r w:rsidR="003218A6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01</w:t>
            </w:r>
            <w:r w:rsidR="000B5AAE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9</w:t>
            </w: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F9" w:rsidRPr="00DC06D7" w:rsidRDefault="004746F9" w:rsidP="003218A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20</w:t>
            </w:r>
            <w:r w:rsidR="000B5AAE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20</w:t>
            </w: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F9" w:rsidRPr="00DC06D7" w:rsidRDefault="004746F9" w:rsidP="003218A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20</w:t>
            </w:r>
            <w:r w:rsidR="00CF5B7B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2</w:t>
            </w:r>
            <w:r w:rsidR="000B5AAE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1</w:t>
            </w: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46F9" w:rsidRPr="00DC06D7" w:rsidRDefault="004746F9" w:rsidP="003218A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20</w:t>
            </w:r>
            <w:r w:rsidR="003218A6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2</w:t>
            </w:r>
            <w:r w:rsidR="000B5AAE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2</w:t>
            </w: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</w:tr>
      <w:tr w:rsidR="00277A54" w:rsidRPr="00DC06D7" w:rsidTr="001F778B">
        <w:trPr>
          <w:trHeight w:val="27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277A54" w:rsidRPr="00DC06D7" w:rsidRDefault="00277A54" w:rsidP="00277A54">
            <w:pPr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Cs/>
                <w:sz w:val="16"/>
                <w:szCs w:val="16"/>
                <w:lang w:val="bs-Latn-BA" w:eastAsia="hr-HR"/>
              </w:rPr>
              <w:t>Ukupno porez na dohodak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A54" w:rsidRPr="00277A54" w:rsidRDefault="000B5AAE" w:rsidP="00277A5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24.730.439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54" w:rsidRPr="00277A54" w:rsidRDefault="00277A54" w:rsidP="00277A5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7A5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B5AAE">
              <w:rPr>
                <w:rFonts w:ascii="Times New Roman" w:hAnsi="Times New Roman"/>
                <w:b/>
                <w:bCs/>
                <w:sz w:val="20"/>
                <w:szCs w:val="20"/>
              </w:rPr>
              <w:t>5.652.615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A54" w:rsidRPr="00277A54" w:rsidRDefault="00277A54" w:rsidP="00277A5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7A5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B5AAE">
              <w:rPr>
                <w:rFonts w:ascii="Times New Roman" w:hAnsi="Times New Roman"/>
                <w:b/>
                <w:bCs/>
                <w:sz w:val="20"/>
                <w:szCs w:val="20"/>
              </w:rPr>
              <w:t>6.595.028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A54" w:rsidRPr="00277A54" w:rsidRDefault="00277A54" w:rsidP="00277A5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7A5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3237A">
              <w:rPr>
                <w:rFonts w:ascii="Times New Roman" w:hAnsi="Times New Roman"/>
                <w:b/>
                <w:bCs/>
                <w:sz w:val="20"/>
                <w:szCs w:val="20"/>
              </w:rPr>
              <w:t>7.770.472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7A54" w:rsidRPr="00277A54" w:rsidRDefault="00277A54" w:rsidP="00277A5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7A5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3237A">
              <w:rPr>
                <w:rFonts w:ascii="Times New Roman" w:hAnsi="Times New Roman"/>
                <w:b/>
                <w:bCs/>
                <w:sz w:val="20"/>
                <w:szCs w:val="20"/>
              </w:rPr>
              <w:t>9.115.116</w:t>
            </w:r>
          </w:p>
        </w:tc>
      </w:tr>
      <w:tr w:rsidR="00277A54" w:rsidRPr="00DC06D7" w:rsidTr="001F778B">
        <w:trPr>
          <w:trHeight w:val="27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A54" w:rsidRPr="00DC06D7" w:rsidRDefault="00277A54" w:rsidP="00277A54">
            <w:pPr>
              <w:rPr>
                <w:rFonts w:ascii="Times New Roman" w:hAnsi="Times New Roman"/>
                <w:b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sz w:val="16"/>
                <w:szCs w:val="16"/>
                <w:lang w:val="bs-Latn-BA" w:eastAsia="hr-HR"/>
              </w:rPr>
              <w:t>Kanton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54" w:rsidRPr="00277A54" w:rsidRDefault="0053237A" w:rsidP="00277A54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16.198.432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54" w:rsidRPr="00277A54" w:rsidRDefault="0053237A" w:rsidP="00277A5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16.812.724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54" w:rsidRPr="00277A54" w:rsidRDefault="0053237A" w:rsidP="00277A5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17.430.382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A54" w:rsidRPr="00277A54" w:rsidRDefault="0053237A" w:rsidP="00277A5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18.200.767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A54" w:rsidRPr="00277A54" w:rsidRDefault="0053237A" w:rsidP="00277A5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19.082.047</w:t>
            </w:r>
          </w:p>
        </w:tc>
      </w:tr>
      <w:tr w:rsidR="004746F9" w:rsidRPr="00DC06D7" w:rsidTr="001F778B">
        <w:trPr>
          <w:trHeight w:val="270"/>
        </w:trPr>
        <w:tc>
          <w:tcPr>
            <w:tcW w:w="263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Cs/>
                <w:sz w:val="16"/>
                <w:szCs w:val="16"/>
                <w:lang w:val="bs-Latn-BA" w:eastAsia="hr-HR"/>
              </w:rPr>
              <w:t>Procenat : godina / prethodna god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rPr>
                <w:rFonts w:ascii="Times New Roman" w:hAnsi="Times New Roman"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D336A5">
            <w:pPr>
              <w:jc w:val="right"/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10</w:t>
            </w:r>
            <w:r w:rsidR="0053237A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3</w:t>
            </w:r>
            <w:r w:rsidRPr="00DC06D7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,</w:t>
            </w:r>
            <w:r w:rsidR="0053237A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D336A5">
            <w:pPr>
              <w:jc w:val="right"/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103,</w:t>
            </w:r>
            <w:r w:rsidR="0053237A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D336A5">
            <w:pPr>
              <w:jc w:val="right"/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10</w:t>
            </w:r>
            <w:r w:rsidR="0053237A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4</w:t>
            </w:r>
            <w:r w:rsidRPr="00DC06D7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,</w:t>
            </w:r>
            <w:r w:rsidR="0053237A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D336A5">
            <w:pPr>
              <w:jc w:val="right"/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10</w:t>
            </w:r>
            <w:r w:rsidR="00D336A5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4</w:t>
            </w:r>
            <w:r w:rsidRPr="00DC06D7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,</w:t>
            </w:r>
            <w:r w:rsidR="0053237A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84</w:t>
            </w:r>
          </w:p>
        </w:tc>
      </w:tr>
      <w:tr w:rsidR="00DE6A82" w:rsidRPr="00DC06D7" w:rsidTr="001F778B">
        <w:trPr>
          <w:trHeight w:val="285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A82" w:rsidRPr="00DC06D7" w:rsidRDefault="00DE6A82" w:rsidP="00DE6A82">
            <w:pPr>
              <w:rPr>
                <w:rFonts w:ascii="Times New Roman" w:hAnsi="Times New Roman"/>
                <w:b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sz w:val="16"/>
                <w:szCs w:val="16"/>
                <w:lang w:val="bs-Latn-BA" w:eastAsia="hr-HR"/>
              </w:rPr>
              <w:t>Općine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A82" w:rsidRPr="00DE6A82" w:rsidRDefault="0053237A" w:rsidP="00DE6A82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8.532.007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A82" w:rsidRPr="00DE6A82" w:rsidRDefault="0053237A" w:rsidP="00DE6A8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8.839.891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A82" w:rsidRPr="00DE6A82" w:rsidRDefault="0053237A" w:rsidP="00DE6A8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9.164.647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A82" w:rsidRPr="00DE6A82" w:rsidRDefault="0053237A" w:rsidP="00DE6A8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9.569.704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A82" w:rsidRPr="00DE6A82" w:rsidRDefault="0053237A" w:rsidP="00DE6A8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10.033.069</w:t>
            </w:r>
          </w:p>
        </w:tc>
      </w:tr>
      <w:tr w:rsidR="004746F9" w:rsidRPr="00DC06D7" w:rsidTr="001F778B">
        <w:trPr>
          <w:trHeight w:val="27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Cs/>
                <w:sz w:val="16"/>
                <w:szCs w:val="16"/>
                <w:lang w:val="bs-Latn-BA" w:eastAsia="hr-HR"/>
              </w:rPr>
              <w:t>Procenat : godina / prethodna god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rPr>
                <w:rFonts w:ascii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FC7F24">
            <w:pPr>
              <w:jc w:val="right"/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10</w:t>
            </w:r>
            <w:r w:rsidR="0053237A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3,61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53237A" w:rsidP="00FC7F24">
            <w:pPr>
              <w:jc w:val="right"/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  <w:t>103,67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jc w:val="right"/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1</w:t>
            </w:r>
            <w:r w:rsidR="00FC7F24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0</w:t>
            </w:r>
            <w:r w:rsidR="0053237A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4,42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FC7F24" w:rsidP="00FC7F24">
            <w:pPr>
              <w:jc w:val="right"/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10</w:t>
            </w:r>
            <w:r w:rsidR="0053237A">
              <w:rPr>
                <w:rFonts w:ascii="Times New Roman" w:hAnsi="Times New Roman"/>
                <w:bCs/>
                <w:sz w:val="16"/>
                <w:szCs w:val="16"/>
                <w:lang w:eastAsia="bs-Latn-BA"/>
              </w:rPr>
              <w:t>4,84</w:t>
            </w:r>
          </w:p>
        </w:tc>
      </w:tr>
    </w:tbl>
    <w:p w:rsidR="004746F9" w:rsidRPr="00DC06D7" w:rsidRDefault="004746F9" w:rsidP="004746F9">
      <w:pPr>
        <w:ind w:firstLine="720"/>
        <w:jc w:val="both"/>
        <w:rPr>
          <w:rFonts w:ascii="Times New Roman" w:hAnsi="Times New Roman"/>
          <w:b/>
          <w:szCs w:val="24"/>
          <w:lang w:val="hr-HR"/>
        </w:rPr>
      </w:pPr>
    </w:p>
    <w:p w:rsidR="004746F9" w:rsidRPr="00DC06D7" w:rsidRDefault="004746F9" w:rsidP="004746F9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Revidirane projekcije za 201</w:t>
      </w:r>
      <w:r w:rsidR="00751C06">
        <w:rPr>
          <w:rFonts w:ascii="Times New Roman" w:hAnsi="Times New Roman"/>
          <w:sz w:val="24"/>
          <w:szCs w:val="24"/>
          <w:lang w:val="hr-HR"/>
        </w:rPr>
        <w:t>9</w:t>
      </w:r>
      <w:r w:rsidRPr="00DC06D7">
        <w:rPr>
          <w:rFonts w:ascii="Times New Roman" w:hAnsi="Times New Roman"/>
          <w:sz w:val="24"/>
          <w:szCs w:val="24"/>
          <w:lang w:val="hr-HR"/>
        </w:rPr>
        <w:t>. godinu zasnovane su na izvršenju prihoda po osnovu poreza na dohodak u periodu januar –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sz w:val="24"/>
          <w:szCs w:val="24"/>
          <w:lang w:val="hr-HR"/>
        </w:rPr>
        <w:t>mart 201</w:t>
      </w:r>
      <w:r w:rsidR="00751C06">
        <w:rPr>
          <w:rFonts w:ascii="Times New Roman" w:hAnsi="Times New Roman"/>
          <w:sz w:val="24"/>
          <w:szCs w:val="24"/>
          <w:lang w:val="hr-HR"/>
        </w:rPr>
        <w:t>9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. godine i očekivanom planu ostvarenja do kraja godine. U tabeli su </w:t>
      </w:r>
      <w:r w:rsidR="00340AE2">
        <w:rPr>
          <w:rFonts w:ascii="Times New Roman" w:hAnsi="Times New Roman"/>
          <w:sz w:val="24"/>
          <w:szCs w:val="24"/>
          <w:lang w:val="hr-HR"/>
        </w:rPr>
        <w:t xml:space="preserve"> dati </w:t>
      </w:r>
      <w:r w:rsidRPr="00DC06D7">
        <w:rPr>
          <w:rFonts w:ascii="Times New Roman" w:hAnsi="Times New Roman"/>
          <w:sz w:val="24"/>
          <w:szCs w:val="24"/>
          <w:lang w:val="hr-HR"/>
        </w:rPr>
        <w:t>podaci za naplaćene prihode poreza na dohodak na području USK-a za 201</w:t>
      </w:r>
      <w:r w:rsidR="00751C06">
        <w:rPr>
          <w:rFonts w:ascii="Times New Roman" w:hAnsi="Times New Roman"/>
          <w:sz w:val="24"/>
          <w:szCs w:val="24"/>
          <w:lang w:val="hr-HR"/>
        </w:rPr>
        <w:t>8</w:t>
      </w:r>
      <w:r w:rsidRPr="00DC06D7">
        <w:rPr>
          <w:rFonts w:ascii="Times New Roman" w:hAnsi="Times New Roman"/>
          <w:sz w:val="24"/>
          <w:szCs w:val="24"/>
          <w:lang w:val="hr-HR"/>
        </w:rPr>
        <w:t>. godinu, kao i revidirane projekcije prihoda za 20</w:t>
      </w:r>
      <w:r w:rsidR="00751C06">
        <w:rPr>
          <w:rFonts w:ascii="Times New Roman" w:hAnsi="Times New Roman"/>
          <w:sz w:val="24"/>
          <w:szCs w:val="24"/>
          <w:lang w:val="hr-HR"/>
        </w:rPr>
        <w:t>20</w:t>
      </w:r>
      <w:r w:rsidRPr="00DC06D7">
        <w:rPr>
          <w:rFonts w:ascii="Times New Roman" w:hAnsi="Times New Roman"/>
          <w:sz w:val="24"/>
          <w:szCs w:val="24"/>
          <w:lang w:val="hr-HR"/>
        </w:rPr>
        <w:t>. -20</w:t>
      </w:r>
      <w:r w:rsidR="00340AE2">
        <w:rPr>
          <w:rFonts w:ascii="Times New Roman" w:hAnsi="Times New Roman"/>
          <w:sz w:val="24"/>
          <w:szCs w:val="24"/>
          <w:lang w:val="hr-HR"/>
        </w:rPr>
        <w:t>2</w:t>
      </w:r>
      <w:r w:rsidR="00751C06">
        <w:rPr>
          <w:rFonts w:ascii="Times New Roman" w:hAnsi="Times New Roman"/>
          <w:sz w:val="24"/>
          <w:szCs w:val="24"/>
          <w:lang w:val="hr-HR"/>
        </w:rPr>
        <w:t>2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. godinu. </w:t>
      </w:r>
    </w:p>
    <w:p w:rsidR="004746F9" w:rsidRPr="00DD49C8" w:rsidRDefault="004746F9" w:rsidP="00DD49C8">
      <w:pPr>
        <w:pStyle w:val="Heading4"/>
        <w:rPr>
          <w:rFonts w:ascii="Times New Roman" w:hAnsi="Times New Roman" w:cs="Times New Roman"/>
          <w:sz w:val="24"/>
          <w:szCs w:val="24"/>
          <w:lang w:val="hr-HR"/>
        </w:rPr>
      </w:pPr>
      <w:bookmarkStart w:id="16" w:name="_Toc9858440"/>
      <w:r w:rsidRPr="00DD49C8">
        <w:rPr>
          <w:rFonts w:ascii="Times New Roman" w:hAnsi="Times New Roman" w:cs="Times New Roman"/>
          <w:sz w:val="24"/>
          <w:szCs w:val="24"/>
          <w:lang w:val="hr-HR"/>
        </w:rPr>
        <w:t>5.2.2.Porez na dobit</w:t>
      </w:r>
      <w:bookmarkEnd w:id="16"/>
    </w:p>
    <w:p w:rsidR="004746F9" w:rsidRPr="00DC06D7" w:rsidRDefault="004746F9" w:rsidP="004746F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ab/>
        <w:t>Efekti naplate prihoda od poreza na dobit od uvođenja novog Zakona o porezu na dobit, pokazuju stalni rast za kantonalne budžete, a koji se različito odražavaju za svaki kanton pojedinačno.</w:t>
      </w:r>
    </w:p>
    <w:p w:rsidR="004746F9" w:rsidRDefault="004746F9" w:rsidP="004746F9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Procjena prihoda po osnovu poreza na dobit rađene su na bazi historijskog trenda ostvarenja i procjene kretanja makroekonomskih pokazatelja preuzetih od DEP-a, a uključuju i procjenu efekata primjene novog Zakona o porezu na dobit.</w:t>
      </w:r>
    </w:p>
    <w:p w:rsidR="004746F9" w:rsidRPr="00B20D5D" w:rsidRDefault="004746F9" w:rsidP="00B20D5D">
      <w:pPr>
        <w:jc w:val="both"/>
        <w:rPr>
          <w:rFonts w:ascii="Times New Roman" w:hAnsi="Times New Roman"/>
          <w:b/>
          <w:sz w:val="20"/>
          <w:szCs w:val="20"/>
          <w:lang w:val="hr-HR"/>
        </w:rPr>
      </w:pPr>
      <w:r w:rsidRPr="00B20D5D">
        <w:rPr>
          <w:rFonts w:ascii="Times New Roman" w:hAnsi="Times New Roman"/>
          <w:b/>
          <w:sz w:val="20"/>
          <w:szCs w:val="20"/>
          <w:lang w:val="hr-HR"/>
        </w:rPr>
        <w:t xml:space="preserve">Tabela: </w:t>
      </w:r>
      <w:r w:rsidR="00B20D5D" w:rsidRPr="00B20D5D">
        <w:rPr>
          <w:rFonts w:ascii="Times New Roman" w:hAnsi="Times New Roman"/>
          <w:b/>
          <w:sz w:val="20"/>
          <w:szCs w:val="20"/>
          <w:lang w:val="hr-HR"/>
        </w:rPr>
        <w:t>R</w:t>
      </w:r>
      <w:r w:rsidR="00B20D5D" w:rsidRPr="00B20D5D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>evidirana projekcija</w:t>
      </w:r>
      <w:r w:rsidR="00B20D5D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 xml:space="preserve"> po osnovu poreza na dobit,</w:t>
      </w:r>
      <w:r w:rsidR="00B20D5D" w:rsidRPr="00B20D5D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 xml:space="preserve"> za 201</w:t>
      </w:r>
      <w:r w:rsidR="000B5AAE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>9</w:t>
      </w:r>
      <w:r w:rsidR="00B20D5D" w:rsidRPr="00B20D5D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>. godinu - plan za period 20</w:t>
      </w:r>
      <w:r w:rsidR="00700DB7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>20</w:t>
      </w:r>
      <w:r w:rsidR="00B20D5D" w:rsidRPr="00B20D5D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>-202</w:t>
      </w:r>
      <w:r w:rsidR="00700DB7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>2</w:t>
      </w:r>
      <w:r w:rsidR="00B20D5D" w:rsidRPr="00B20D5D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>.</w:t>
      </w:r>
    </w:p>
    <w:tbl>
      <w:tblPr>
        <w:tblW w:w="8080" w:type="dxa"/>
        <w:tblInd w:w="94" w:type="dxa"/>
        <w:tblLook w:val="04A0" w:firstRow="1" w:lastRow="0" w:firstColumn="1" w:lastColumn="0" w:noHBand="0" w:noVBand="1"/>
      </w:tblPr>
      <w:tblGrid>
        <w:gridCol w:w="2180"/>
        <w:gridCol w:w="1180"/>
        <w:gridCol w:w="1180"/>
        <w:gridCol w:w="1180"/>
        <w:gridCol w:w="1180"/>
        <w:gridCol w:w="1180"/>
      </w:tblGrid>
      <w:tr w:rsidR="004746F9" w:rsidRPr="00DC06D7" w:rsidTr="001F778B">
        <w:trPr>
          <w:trHeight w:val="270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46F9" w:rsidRPr="00DC06D7" w:rsidRDefault="004746F9" w:rsidP="001F77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8"/>
                <w:szCs w:val="18"/>
                <w:lang w:val="bs-Latn-BA" w:eastAsia="bs-Latn-BA"/>
              </w:rPr>
              <w:t xml:space="preserve">Vrsta prihoda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8"/>
                <w:szCs w:val="18"/>
                <w:lang w:val="bs-Latn-BA" w:eastAsia="bs-Latn-BA"/>
              </w:rPr>
              <w:t xml:space="preserve">Izvršenje </w:t>
            </w:r>
          </w:p>
        </w:tc>
        <w:tc>
          <w:tcPr>
            <w:tcW w:w="4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8"/>
                <w:szCs w:val="18"/>
                <w:lang w:val="bs-Latn-BA" w:eastAsia="bs-Latn-BA"/>
              </w:rPr>
              <w:t>Procjena</w:t>
            </w:r>
          </w:p>
        </w:tc>
      </w:tr>
      <w:tr w:rsidR="004746F9" w:rsidRPr="00DC06D7" w:rsidTr="001F778B">
        <w:trPr>
          <w:trHeight w:val="27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46F9" w:rsidRPr="00DC06D7" w:rsidRDefault="004746F9" w:rsidP="001F778B">
            <w:pPr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46F9" w:rsidRPr="00DC06D7" w:rsidRDefault="004746F9" w:rsidP="00FC7F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8"/>
                <w:szCs w:val="18"/>
                <w:lang w:val="bs-Latn-BA" w:eastAsia="bs-Latn-BA"/>
              </w:rPr>
              <w:t>201</w:t>
            </w:r>
            <w:r w:rsidR="000B5AAE">
              <w:rPr>
                <w:rFonts w:ascii="Times New Roman" w:hAnsi="Times New Roman"/>
                <w:b/>
                <w:bCs/>
                <w:sz w:val="18"/>
                <w:szCs w:val="18"/>
                <w:lang w:val="bs-Latn-BA" w:eastAsia="bs-Latn-BA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F9" w:rsidRPr="00DC06D7" w:rsidRDefault="004746F9" w:rsidP="00FC7F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 w:rsidRPr="00DC06D7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2</w:t>
            </w:r>
            <w:r w:rsidR="00FC7F24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01</w:t>
            </w:r>
            <w:r w:rsidR="000B5AA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9</w:t>
            </w:r>
            <w:r w:rsidRPr="00DC06D7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F9" w:rsidRPr="00DC06D7" w:rsidRDefault="00FC7F24" w:rsidP="001F77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20</w:t>
            </w:r>
            <w:r w:rsidR="000B5AA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20</w:t>
            </w:r>
            <w:r w:rsidR="004746F9" w:rsidRPr="00DC06D7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F9" w:rsidRPr="00DC06D7" w:rsidRDefault="00FC7F24" w:rsidP="001F77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20</w:t>
            </w:r>
            <w:r w:rsidR="00CF5B7B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2</w:t>
            </w:r>
            <w:r w:rsidR="000B5AA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1</w:t>
            </w:r>
            <w:r w:rsidR="004746F9" w:rsidRPr="00DC06D7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F9" w:rsidRPr="00DC06D7" w:rsidRDefault="00FC7F24" w:rsidP="001F77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202</w:t>
            </w:r>
            <w:r w:rsidR="000B5AAE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2</w:t>
            </w:r>
            <w:r w:rsidR="004746F9" w:rsidRPr="00DC06D7">
              <w:rPr>
                <w:rFonts w:ascii="Times New Roman" w:hAnsi="Times New Roman"/>
                <w:b/>
                <w:bCs/>
                <w:sz w:val="18"/>
                <w:szCs w:val="18"/>
                <w:lang w:val="hr-HR" w:eastAsia="hr-HR"/>
              </w:rPr>
              <w:t>.</w:t>
            </w:r>
          </w:p>
        </w:tc>
      </w:tr>
      <w:tr w:rsidR="00D31FA0" w:rsidRPr="00DC06D7" w:rsidTr="001F778B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31FA0" w:rsidRPr="00DC06D7" w:rsidRDefault="00D31FA0" w:rsidP="00D31FA0">
            <w:pPr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DC06D7">
              <w:rPr>
                <w:rFonts w:ascii="Times New Roman" w:hAnsi="Times New Roman"/>
                <w:sz w:val="18"/>
                <w:szCs w:val="18"/>
                <w:lang w:val="bs-Latn-BA" w:eastAsia="bs-Latn-BA"/>
              </w:rPr>
              <w:t>Porez na dobit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FA0" w:rsidRPr="00D31FA0" w:rsidRDefault="000B5AAE" w:rsidP="00D31FA0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13.439.030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FA0" w:rsidRPr="00D31FA0" w:rsidRDefault="000B5AAE" w:rsidP="00D31FA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14.033.778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FA0" w:rsidRPr="00D31FA0" w:rsidRDefault="000B5AAE" w:rsidP="00D31FA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14.553.027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FA0" w:rsidRPr="00D31FA0" w:rsidRDefault="000B5AAE" w:rsidP="00D31FA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15.106.042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FA0" w:rsidRPr="00D31FA0" w:rsidRDefault="000B5AAE" w:rsidP="00D31FA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15.710.284</w:t>
            </w:r>
          </w:p>
        </w:tc>
      </w:tr>
      <w:tr w:rsidR="004746F9" w:rsidRPr="00DC06D7" w:rsidTr="001F778B">
        <w:trPr>
          <w:trHeight w:val="48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46F9" w:rsidRPr="00DC06D7" w:rsidRDefault="004746F9" w:rsidP="001F778B">
            <w:pPr>
              <w:rPr>
                <w:rFonts w:ascii="Times New Roman" w:hAnsi="Times New Roman"/>
                <w:bCs/>
                <w:sz w:val="16"/>
                <w:szCs w:val="16"/>
                <w:lang w:val="hr-HR" w:eastAsia="hr-HR"/>
              </w:rPr>
            </w:pPr>
            <w:r w:rsidRPr="00DC06D7">
              <w:rPr>
                <w:rFonts w:ascii="Times New Roman" w:hAnsi="Times New Roman"/>
                <w:bCs/>
                <w:sz w:val="16"/>
                <w:szCs w:val="16"/>
                <w:lang w:val="bs-Latn-BA" w:eastAsia="bs-Latn-BA"/>
              </w:rPr>
              <w:t>Procenat : godina / prethodna god</w:t>
            </w:r>
            <w:r w:rsidRPr="00DC06D7">
              <w:rPr>
                <w:rFonts w:ascii="Times New Roman" w:hAnsi="Times New Roman"/>
                <w:sz w:val="20"/>
                <w:lang w:val="bs-Latn-BA" w:eastAsia="bs-Latn-BA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1F778B">
            <w:pPr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DC06D7">
              <w:rPr>
                <w:rFonts w:ascii="Times New Roman" w:hAnsi="Times New Roman"/>
                <w:sz w:val="18"/>
                <w:szCs w:val="18"/>
                <w:lang w:eastAsia="bs-Latn-B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395F69" w:rsidP="001F778B">
            <w:pPr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bs-Latn-BA"/>
              </w:rPr>
              <w:t>10</w:t>
            </w:r>
            <w:r w:rsidR="000B5AAE">
              <w:rPr>
                <w:rFonts w:ascii="Times New Roman" w:hAnsi="Times New Roman"/>
                <w:sz w:val="18"/>
                <w:szCs w:val="18"/>
                <w:lang w:eastAsia="bs-Latn-BA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eastAsia="bs-Latn-BA"/>
              </w:rPr>
              <w:t>,</w:t>
            </w:r>
            <w:r w:rsidR="000B5AAE">
              <w:rPr>
                <w:rFonts w:ascii="Times New Roman" w:hAnsi="Times New Roman"/>
                <w:sz w:val="18"/>
                <w:szCs w:val="18"/>
                <w:lang w:eastAsia="bs-Latn-BA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395F69" w:rsidP="001F778B">
            <w:pPr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sz w:val="18"/>
                <w:szCs w:val="18"/>
                <w:lang w:eastAsia="bs-Latn-BA"/>
              </w:rPr>
              <w:t>10</w:t>
            </w:r>
            <w:r w:rsidR="00E923B7">
              <w:rPr>
                <w:rFonts w:ascii="Times New Roman" w:hAnsi="Times New Roman"/>
                <w:sz w:val="18"/>
                <w:szCs w:val="18"/>
                <w:lang w:eastAsia="bs-Latn-BA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bs-Latn-BA"/>
              </w:rPr>
              <w:t>,</w:t>
            </w:r>
            <w:r w:rsidR="000B5AAE">
              <w:rPr>
                <w:rFonts w:ascii="Times New Roman" w:hAnsi="Times New Roman"/>
                <w:sz w:val="18"/>
                <w:szCs w:val="18"/>
                <w:lang w:eastAsia="bs-Latn-BA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395F69">
            <w:pPr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DC06D7">
              <w:rPr>
                <w:rFonts w:ascii="Times New Roman" w:hAnsi="Times New Roman"/>
                <w:sz w:val="18"/>
                <w:szCs w:val="18"/>
                <w:lang w:eastAsia="bs-Latn-BA"/>
              </w:rPr>
              <w:t>10</w:t>
            </w:r>
            <w:r w:rsidR="00E923B7">
              <w:rPr>
                <w:rFonts w:ascii="Times New Roman" w:hAnsi="Times New Roman"/>
                <w:sz w:val="18"/>
                <w:szCs w:val="18"/>
                <w:lang w:eastAsia="bs-Latn-BA"/>
              </w:rPr>
              <w:t>3</w:t>
            </w:r>
            <w:r w:rsidRPr="00DC06D7">
              <w:rPr>
                <w:rFonts w:ascii="Times New Roman" w:hAnsi="Times New Roman"/>
                <w:sz w:val="18"/>
                <w:szCs w:val="18"/>
                <w:lang w:eastAsia="bs-Latn-BA"/>
              </w:rPr>
              <w:t>,</w:t>
            </w:r>
            <w:r w:rsidR="000B5AAE">
              <w:rPr>
                <w:rFonts w:ascii="Times New Roman" w:hAnsi="Times New Roman"/>
                <w:sz w:val="18"/>
                <w:szCs w:val="18"/>
                <w:lang w:eastAsia="bs-Latn-BA"/>
              </w:rPr>
              <w:t>8</w:t>
            </w:r>
            <w:r w:rsidRPr="00DC06D7">
              <w:rPr>
                <w:rFonts w:ascii="Times New Roman" w:hAnsi="Times New Roman"/>
                <w:sz w:val="18"/>
                <w:szCs w:val="18"/>
                <w:lang w:eastAsia="bs-Latn-BA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46F9" w:rsidRPr="00DC06D7" w:rsidRDefault="004746F9" w:rsidP="00395F69">
            <w:pPr>
              <w:jc w:val="right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DC06D7">
              <w:rPr>
                <w:rFonts w:ascii="Times New Roman" w:hAnsi="Times New Roman"/>
                <w:sz w:val="18"/>
                <w:szCs w:val="18"/>
                <w:lang w:eastAsia="bs-Latn-BA"/>
              </w:rPr>
              <w:t>1</w:t>
            </w:r>
            <w:r w:rsidR="00395F69">
              <w:rPr>
                <w:rFonts w:ascii="Times New Roman" w:hAnsi="Times New Roman"/>
                <w:sz w:val="18"/>
                <w:szCs w:val="18"/>
                <w:lang w:eastAsia="bs-Latn-BA"/>
              </w:rPr>
              <w:t>0</w:t>
            </w:r>
            <w:r w:rsidR="000B5AAE">
              <w:rPr>
                <w:rFonts w:ascii="Times New Roman" w:hAnsi="Times New Roman"/>
                <w:sz w:val="18"/>
                <w:szCs w:val="18"/>
                <w:lang w:eastAsia="bs-Latn-BA"/>
              </w:rPr>
              <w:t>4</w:t>
            </w:r>
            <w:r w:rsidRPr="00DC06D7">
              <w:rPr>
                <w:rFonts w:ascii="Times New Roman" w:hAnsi="Times New Roman"/>
                <w:sz w:val="18"/>
                <w:szCs w:val="18"/>
                <w:lang w:eastAsia="bs-Latn-BA"/>
              </w:rPr>
              <w:t>,</w:t>
            </w:r>
            <w:r w:rsidR="000B5AAE">
              <w:rPr>
                <w:rFonts w:ascii="Times New Roman" w:hAnsi="Times New Roman"/>
                <w:sz w:val="18"/>
                <w:szCs w:val="18"/>
                <w:lang w:eastAsia="bs-Latn-BA"/>
              </w:rPr>
              <w:t>0</w:t>
            </w:r>
            <w:r w:rsidRPr="00DC06D7">
              <w:rPr>
                <w:rFonts w:ascii="Times New Roman" w:hAnsi="Times New Roman"/>
                <w:sz w:val="18"/>
                <w:szCs w:val="18"/>
                <w:lang w:eastAsia="bs-Latn-BA"/>
              </w:rPr>
              <w:t>0</w:t>
            </w:r>
          </w:p>
        </w:tc>
      </w:tr>
    </w:tbl>
    <w:p w:rsidR="004746F9" w:rsidRPr="00DC06D7" w:rsidRDefault="004746F9" w:rsidP="004746F9">
      <w:pPr>
        <w:jc w:val="both"/>
        <w:rPr>
          <w:rFonts w:ascii="Times New Roman" w:hAnsi="Times New Roman"/>
          <w:bCs/>
          <w:sz w:val="24"/>
          <w:szCs w:val="18"/>
          <w:lang w:val="bs-Latn-BA" w:eastAsia="bs-Latn-BA"/>
        </w:rPr>
      </w:pPr>
      <w:r w:rsidRPr="00DC06D7">
        <w:rPr>
          <w:rFonts w:ascii="Times New Roman" w:hAnsi="Times New Roman"/>
          <w:bCs/>
          <w:sz w:val="24"/>
          <w:szCs w:val="18"/>
          <w:lang w:val="bs-Latn-BA" w:eastAsia="bs-Latn-BA"/>
        </w:rPr>
        <w:lastRenderedPageBreak/>
        <w:t xml:space="preserve">U tabeli </w:t>
      </w:r>
      <w:r>
        <w:rPr>
          <w:rFonts w:ascii="Times New Roman" w:hAnsi="Times New Roman"/>
          <w:bCs/>
          <w:sz w:val="24"/>
          <w:szCs w:val="18"/>
          <w:lang w:val="bs-Latn-BA" w:eastAsia="bs-Latn-BA"/>
        </w:rPr>
        <w:t>je</w:t>
      </w:r>
      <w:r w:rsidRPr="00DC06D7">
        <w:rPr>
          <w:rFonts w:ascii="Times New Roman" w:hAnsi="Times New Roman"/>
          <w:bCs/>
          <w:sz w:val="24"/>
          <w:szCs w:val="18"/>
          <w:lang w:val="bs-Latn-BA" w:eastAsia="bs-Latn-BA"/>
        </w:rPr>
        <w:t xml:space="preserve"> prikazano  izvršenje prihoda od poreza na dobit za 201</w:t>
      </w:r>
      <w:r w:rsidR="000B5AAE">
        <w:rPr>
          <w:rFonts w:ascii="Times New Roman" w:hAnsi="Times New Roman"/>
          <w:bCs/>
          <w:sz w:val="24"/>
          <w:szCs w:val="18"/>
          <w:lang w:val="bs-Latn-BA" w:eastAsia="bs-Latn-BA"/>
        </w:rPr>
        <w:t>8</w:t>
      </w:r>
      <w:r w:rsidRPr="00DC06D7">
        <w:rPr>
          <w:rFonts w:ascii="Times New Roman" w:hAnsi="Times New Roman"/>
          <w:bCs/>
          <w:sz w:val="24"/>
          <w:szCs w:val="18"/>
          <w:lang w:val="bs-Latn-BA" w:eastAsia="bs-Latn-BA"/>
        </w:rPr>
        <w:t>.godinu i  revidirane projekcije za 201</w:t>
      </w:r>
      <w:r w:rsidR="000B5AAE">
        <w:rPr>
          <w:rFonts w:ascii="Times New Roman" w:hAnsi="Times New Roman"/>
          <w:bCs/>
          <w:sz w:val="24"/>
          <w:szCs w:val="18"/>
          <w:lang w:val="bs-Latn-BA" w:eastAsia="bs-Latn-BA"/>
        </w:rPr>
        <w:t>9</w:t>
      </w:r>
      <w:r w:rsidRPr="00DC06D7">
        <w:rPr>
          <w:rFonts w:ascii="Times New Roman" w:hAnsi="Times New Roman"/>
          <w:bCs/>
          <w:sz w:val="24"/>
          <w:szCs w:val="18"/>
          <w:lang w:val="bs-Latn-BA" w:eastAsia="bs-Latn-BA"/>
        </w:rPr>
        <w:t xml:space="preserve">  i projekcije za period 20</w:t>
      </w:r>
      <w:r w:rsidR="000B5AAE">
        <w:rPr>
          <w:rFonts w:ascii="Times New Roman" w:hAnsi="Times New Roman"/>
          <w:bCs/>
          <w:sz w:val="24"/>
          <w:szCs w:val="18"/>
          <w:lang w:val="bs-Latn-BA" w:eastAsia="bs-Latn-BA"/>
        </w:rPr>
        <w:t>20</w:t>
      </w:r>
      <w:r w:rsidR="00340AE2">
        <w:rPr>
          <w:rFonts w:ascii="Times New Roman" w:hAnsi="Times New Roman"/>
          <w:bCs/>
          <w:sz w:val="24"/>
          <w:szCs w:val="18"/>
          <w:lang w:val="bs-Latn-BA" w:eastAsia="bs-Latn-BA"/>
        </w:rPr>
        <w:t xml:space="preserve">. – </w:t>
      </w:r>
      <w:r w:rsidRPr="00DC06D7">
        <w:rPr>
          <w:rFonts w:ascii="Times New Roman" w:hAnsi="Times New Roman"/>
          <w:bCs/>
          <w:sz w:val="24"/>
          <w:szCs w:val="18"/>
          <w:lang w:val="bs-Latn-BA" w:eastAsia="bs-Latn-BA"/>
        </w:rPr>
        <w:t>20</w:t>
      </w:r>
      <w:r w:rsidR="00340AE2">
        <w:rPr>
          <w:rFonts w:ascii="Times New Roman" w:hAnsi="Times New Roman"/>
          <w:bCs/>
          <w:sz w:val="24"/>
          <w:szCs w:val="18"/>
          <w:lang w:val="bs-Latn-BA" w:eastAsia="bs-Latn-BA"/>
        </w:rPr>
        <w:t>2</w:t>
      </w:r>
      <w:r w:rsidR="000B5AAE">
        <w:rPr>
          <w:rFonts w:ascii="Times New Roman" w:hAnsi="Times New Roman"/>
          <w:bCs/>
          <w:sz w:val="24"/>
          <w:szCs w:val="18"/>
          <w:lang w:val="bs-Latn-BA" w:eastAsia="bs-Latn-BA"/>
        </w:rPr>
        <w:t>2</w:t>
      </w:r>
      <w:r w:rsidR="00340AE2">
        <w:rPr>
          <w:rFonts w:ascii="Times New Roman" w:hAnsi="Times New Roman"/>
          <w:bCs/>
          <w:sz w:val="24"/>
          <w:szCs w:val="18"/>
          <w:lang w:val="bs-Latn-BA" w:eastAsia="bs-Latn-BA"/>
        </w:rPr>
        <w:t>.</w:t>
      </w:r>
      <w:r w:rsidRPr="00DC06D7">
        <w:rPr>
          <w:rFonts w:ascii="Times New Roman" w:hAnsi="Times New Roman"/>
          <w:bCs/>
          <w:sz w:val="24"/>
          <w:szCs w:val="18"/>
          <w:lang w:val="bs-Latn-BA" w:eastAsia="bs-Latn-BA"/>
        </w:rPr>
        <w:t xml:space="preserve"> godinu.</w:t>
      </w:r>
      <w:bookmarkStart w:id="17" w:name="_Toc190228400"/>
    </w:p>
    <w:p w:rsidR="004746F9" w:rsidRDefault="004746F9" w:rsidP="004746F9">
      <w:pPr>
        <w:jc w:val="both"/>
        <w:rPr>
          <w:rFonts w:ascii="Times New Roman" w:hAnsi="Times New Roman"/>
          <w:sz w:val="24"/>
        </w:rPr>
      </w:pPr>
      <w:r w:rsidRPr="00DC06D7">
        <w:rPr>
          <w:rFonts w:ascii="Times New Roman" w:hAnsi="Times New Roman"/>
          <w:sz w:val="24"/>
        </w:rPr>
        <w:t xml:space="preserve">Porez na dobit firmi, pored banaka i drugih finansijskih institucija, predstavlja kantonalni prihod. Procjenjuje se da će iznositi </w:t>
      </w:r>
      <w:r w:rsidR="00E923B7">
        <w:rPr>
          <w:rFonts w:ascii="Times New Roman" w:hAnsi="Times New Roman"/>
          <w:sz w:val="24"/>
        </w:rPr>
        <w:t>1</w:t>
      </w:r>
      <w:r w:rsidR="00700DB7">
        <w:rPr>
          <w:rFonts w:ascii="Times New Roman" w:hAnsi="Times New Roman"/>
          <w:sz w:val="24"/>
        </w:rPr>
        <w:t>4</w:t>
      </w:r>
      <w:r w:rsidR="00E923B7">
        <w:rPr>
          <w:rFonts w:ascii="Times New Roman" w:hAnsi="Times New Roman"/>
          <w:sz w:val="24"/>
        </w:rPr>
        <w:t>,0</w:t>
      </w:r>
      <w:r w:rsidR="00700DB7">
        <w:rPr>
          <w:rFonts w:ascii="Times New Roman" w:hAnsi="Times New Roman"/>
          <w:sz w:val="24"/>
        </w:rPr>
        <w:t>3</w:t>
      </w:r>
      <w:r w:rsidRPr="00DC06D7">
        <w:rPr>
          <w:rFonts w:ascii="Times New Roman" w:hAnsi="Times New Roman"/>
          <w:sz w:val="24"/>
        </w:rPr>
        <w:t xml:space="preserve"> mil KM u 201</w:t>
      </w:r>
      <w:r w:rsidR="00700DB7">
        <w:rPr>
          <w:rFonts w:ascii="Times New Roman" w:hAnsi="Times New Roman"/>
          <w:sz w:val="24"/>
        </w:rPr>
        <w:t>9</w:t>
      </w:r>
      <w:r w:rsidRPr="00DC06D7">
        <w:rPr>
          <w:rFonts w:ascii="Times New Roman" w:hAnsi="Times New Roman"/>
          <w:sz w:val="24"/>
        </w:rPr>
        <w:t xml:space="preserve">.g., a što predstavlja rast od </w:t>
      </w:r>
      <w:r w:rsidR="00700DB7">
        <w:rPr>
          <w:rFonts w:ascii="Times New Roman" w:hAnsi="Times New Roman"/>
          <w:sz w:val="24"/>
        </w:rPr>
        <w:t>4,42</w:t>
      </w:r>
      <w:r w:rsidR="00395F69">
        <w:rPr>
          <w:rFonts w:ascii="Times New Roman" w:hAnsi="Times New Roman"/>
          <w:sz w:val="24"/>
        </w:rPr>
        <w:t xml:space="preserve"> </w:t>
      </w:r>
      <w:r w:rsidRPr="00DC06D7">
        <w:rPr>
          <w:rFonts w:ascii="Times New Roman" w:hAnsi="Times New Roman"/>
          <w:sz w:val="24"/>
        </w:rPr>
        <w:t>% u odnosu na ostvarenje 201</w:t>
      </w:r>
      <w:r w:rsidR="00700DB7">
        <w:rPr>
          <w:rFonts w:ascii="Times New Roman" w:hAnsi="Times New Roman"/>
          <w:sz w:val="24"/>
        </w:rPr>
        <w:t>8</w:t>
      </w:r>
      <w:r w:rsidRPr="00DC06D7">
        <w:rPr>
          <w:rFonts w:ascii="Times New Roman" w:hAnsi="Times New Roman"/>
          <w:sz w:val="24"/>
        </w:rPr>
        <w:t>.g.  Projecirano je da će prihodi po o</w:t>
      </w:r>
      <w:r w:rsidR="002E1B08">
        <w:rPr>
          <w:rFonts w:ascii="Times New Roman" w:hAnsi="Times New Roman"/>
          <w:sz w:val="24"/>
        </w:rPr>
        <w:t>snovu poreza na dobit</w:t>
      </w:r>
      <w:r w:rsidR="00E923B7">
        <w:rPr>
          <w:rFonts w:ascii="Times New Roman" w:hAnsi="Times New Roman"/>
          <w:sz w:val="24"/>
        </w:rPr>
        <w:t xml:space="preserve">i </w:t>
      </w:r>
      <w:r w:rsidRPr="00DC06D7">
        <w:rPr>
          <w:rFonts w:ascii="Times New Roman" w:hAnsi="Times New Roman"/>
          <w:sz w:val="24"/>
        </w:rPr>
        <w:t>iznositi</w:t>
      </w:r>
      <w:r w:rsidR="00E923B7">
        <w:rPr>
          <w:rFonts w:ascii="Times New Roman" w:hAnsi="Times New Roman"/>
          <w:sz w:val="24"/>
        </w:rPr>
        <w:t>:</w:t>
      </w:r>
      <w:r w:rsidRPr="00DC06D7">
        <w:rPr>
          <w:rFonts w:ascii="Times New Roman" w:hAnsi="Times New Roman"/>
          <w:sz w:val="24"/>
        </w:rPr>
        <w:t xml:space="preserve"> </w:t>
      </w:r>
      <w:r w:rsidR="002E1B08">
        <w:rPr>
          <w:rFonts w:ascii="Times New Roman" w:hAnsi="Times New Roman"/>
          <w:sz w:val="24"/>
        </w:rPr>
        <w:t>1</w:t>
      </w:r>
      <w:r w:rsidR="00700DB7">
        <w:rPr>
          <w:rFonts w:ascii="Times New Roman" w:hAnsi="Times New Roman"/>
          <w:sz w:val="24"/>
        </w:rPr>
        <w:t>4</w:t>
      </w:r>
      <w:r w:rsidRPr="00DC06D7">
        <w:rPr>
          <w:rFonts w:ascii="Times New Roman" w:hAnsi="Times New Roman"/>
          <w:sz w:val="24"/>
        </w:rPr>
        <w:t>,</w:t>
      </w:r>
      <w:r w:rsidR="00E923B7">
        <w:rPr>
          <w:rFonts w:ascii="Times New Roman" w:hAnsi="Times New Roman"/>
          <w:sz w:val="24"/>
        </w:rPr>
        <w:t>5</w:t>
      </w:r>
      <w:r w:rsidR="00700DB7">
        <w:rPr>
          <w:rFonts w:ascii="Times New Roman" w:hAnsi="Times New Roman"/>
          <w:sz w:val="24"/>
        </w:rPr>
        <w:t>5</w:t>
      </w:r>
      <w:r w:rsidRPr="00DC06D7">
        <w:rPr>
          <w:rFonts w:ascii="Times New Roman" w:hAnsi="Times New Roman"/>
          <w:sz w:val="24"/>
        </w:rPr>
        <w:t xml:space="preserve"> mil KM u 20</w:t>
      </w:r>
      <w:r w:rsidR="00700DB7">
        <w:rPr>
          <w:rFonts w:ascii="Times New Roman" w:hAnsi="Times New Roman"/>
          <w:sz w:val="24"/>
        </w:rPr>
        <w:t>20</w:t>
      </w:r>
      <w:r w:rsidRPr="00DC06D7">
        <w:rPr>
          <w:rFonts w:ascii="Times New Roman" w:hAnsi="Times New Roman"/>
          <w:sz w:val="24"/>
        </w:rPr>
        <w:t xml:space="preserve">.g., te </w:t>
      </w:r>
      <w:r w:rsidR="00700DB7">
        <w:rPr>
          <w:rFonts w:ascii="Times New Roman" w:hAnsi="Times New Roman"/>
          <w:sz w:val="24"/>
        </w:rPr>
        <w:t>15,11</w:t>
      </w:r>
      <w:r w:rsidRPr="00DC06D7">
        <w:rPr>
          <w:rFonts w:ascii="Times New Roman" w:hAnsi="Times New Roman"/>
          <w:sz w:val="24"/>
        </w:rPr>
        <w:t xml:space="preserve"> KM u 20</w:t>
      </w:r>
      <w:r w:rsidR="00E923B7">
        <w:rPr>
          <w:rFonts w:ascii="Times New Roman" w:hAnsi="Times New Roman"/>
          <w:sz w:val="24"/>
        </w:rPr>
        <w:t>2</w:t>
      </w:r>
      <w:r w:rsidR="00700DB7">
        <w:rPr>
          <w:rFonts w:ascii="Times New Roman" w:hAnsi="Times New Roman"/>
          <w:sz w:val="24"/>
        </w:rPr>
        <w:t>1</w:t>
      </w:r>
      <w:r w:rsidRPr="00DC06D7">
        <w:rPr>
          <w:rFonts w:ascii="Times New Roman" w:hAnsi="Times New Roman"/>
          <w:sz w:val="24"/>
        </w:rPr>
        <w:t>.</w:t>
      </w:r>
      <w:bookmarkEnd w:id="17"/>
      <w:r w:rsidRPr="00DC06D7">
        <w:rPr>
          <w:rFonts w:ascii="Times New Roman" w:hAnsi="Times New Roman"/>
          <w:sz w:val="24"/>
        </w:rPr>
        <w:t xml:space="preserve">g. </w:t>
      </w:r>
      <w:r w:rsidR="002E1B08">
        <w:rPr>
          <w:rFonts w:ascii="Times New Roman" w:hAnsi="Times New Roman"/>
          <w:sz w:val="24"/>
        </w:rPr>
        <w:t xml:space="preserve">i </w:t>
      </w:r>
      <w:r w:rsidR="00700DB7">
        <w:rPr>
          <w:rFonts w:ascii="Times New Roman" w:hAnsi="Times New Roman"/>
          <w:sz w:val="24"/>
        </w:rPr>
        <w:t xml:space="preserve"> 15,71</w:t>
      </w:r>
      <w:r w:rsidRPr="00DC06D7">
        <w:rPr>
          <w:rFonts w:ascii="Times New Roman" w:hAnsi="Times New Roman"/>
          <w:sz w:val="24"/>
        </w:rPr>
        <w:t xml:space="preserve"> mil. KM u 20</w:t>
      </w:r>
      <w:r w:rsidR="00395F69">
        <w:rPr>
          <w:rFonts w:ascii="Times New Roman" w:hAnsi="Times New Roman"/>
          <w:sz w:val="24"/>
        </w:rPr>
        <w:t>2</w:t>
      </w:r>
      <w:r w:rsidR="00700DB7">
        <w:rPr>
          <w:rFonts w:ascii="Times New Roman" w:hAnsi="Times New Roman"/>
          <w:sz w:val="24"/>
        </w:rPr>
        <w:t>2</w:t>
      </w:r>
      <w:r w:rsidRPr="00DC06D7">
        <w:rPr>
          <w:rFonts w:ascii="Times New Roman" w:hAnsi="Times New Roman"/>
          <w:sz w:val="24"/>
        </w:rPr>
        <w:t>.</w:t>
      </w:r>
      <w:r w:rsidR="00E923B7">
        <w:rPr>
          <w:rFonts w:ascii="Times New Roman" w:hAnsi="Times New Roman"/>
          <w:sz w:val="24"/>
        </w:rPr>
        <w:t xml:space="preserve"> godini.</w:t>
      </w:r>
    </w:p>
    <w:p w:rsidR="004746F9" w:rsidRPr="00AD06D2" w:rsidRDefault="004746F9" w:rsidP="00AD06D2">
      <w:pPr>
        <w:pStyle w:val="Heading2"/>
        <w:rPr>
          <w:rFonts w:ascii="Times New Roman" w:hAnsi="Times New Roman"/>
          <w:lang w:eastAsia="bs-Latn-BA"/>
        </w:rPr>
      </w:pPr>
      <w:bookmarkStart w:id="18" w:name="_Toc9858441"/>
      <w:r w:rsidRPr="00AD06D2">
        <w:rPr>
          <w:rFonts w:ascii="Times New Roman" w:hAnsi="Times New Roman"/>
          <w:lang w:eastAsia="bs-Latn-BA"/>
        </w:rPr>
        <w:t>5.3. Ukupni prihodi kantona</w:t>
      </w:r>
      <w:bookmarkEnd w:id="18"/>
    </w:p>
    <w:p w:rsidR="004C26A1" w:rsidRPr="00DC06D7" w:rsidRDefault="004746F9" w:rsidP="004C26A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15586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Federalno</w:t>
      </w:r>
      <w:r>
        <w:rPr>
          <w:rFonts w:ascii="Times New Roman" w:hAnsi="Times New Roman"/>
          <w:sz w:val="24"/>
          <w:szCs w:val="24"/>
        </w:rPr>
        <w:t xml:space="preserve"> ministarstvo finansija dostavilo je </w:t>
      </w:r>
      <w:r w:rsidR="00F13DEE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.05.201</w:t>
      </w:r>
      <w:r w:rsidR="00F13DE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Pr="001A6ED7">
        <w:rPr>
          <w:rFonts w:ascii="Times New Roman" w:hAnsi="Times New Roman"/>
          <w:i/>
          <w:sz w:val="24"/>
          <w:szCs w:val="24"/>
        </w:rPr>
        <w:t>revidiranu projekciju</w:t>
      </w:r>
      <w:r>
        <w:rPr>
          <w:rFonts w:ascii="Times New Roman" w:hAnsi="Times New Roman"/>
          <w:sz w:val="24"/>
          <w:szCs w:val="24"/>
        </w:rPr>
        <w:t xml:space="preserve"> prihoda od indirektnih i direktnih poreza za 201</w:t>
      </w:r>
      <w:r w:rsidR="005A0EE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i projekcije za period 20</w:t>
      </w:r>
      <w:r w:rsidR="005A0EE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</w:t>
      </w:r>
      <w:r w:rsidR="00D6405B">
        <w:rPr>
          <w:rFonts w:ascii="Times New Roman" w:hAnsi="Times New Roman"/>
          <w:sz w:val="24"/>
          <w:szCs w:val="24"/>
        </w:rPr>
        <w:t>2</w:t>
      </w:r>
      <w:r w:rsidR="005A0EE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godina sačinjenu na osnovu prognoza Odjeljenja za makroekonomsku analizu UIO (OMA)  zasnovanu na historijskim podacima i predviđanjima kretanja makroekonomskih pokazatelja.U nadležnosti OMA-e je da dva puta godišnje ( </w:t>
      </w:r>
      <w:r w:rsidR="00B462EF">
        <w:rPr>
          <w:rFonts w:ascii="Times New Roman" w:hAnsi="Times New Roman"/>
          <w:sz w:val="24"/>
          <w:szCs w:val="24"/>
        </w:rPr>
        <w:t>maj</w:t>
      </w:r>
      <w:r>
        <w:rPr>
          <w:rFonts w:ascii="Times New Roman" w:hAnsi="Times New Roman"/>
          <w:sz w:val="24"/>
          <w:szCs w:val="24"/>
        </w:rPr>
        <w:t>, oktobar) vrši procjenu prihoda i dostavlja je entitetima.</w:t>
      </w:r>
      <w:r w:rsidR="004C26A1" w:rsidRPr="004C26A1">
        <w:rPr>
          <w:rFonts w:ascii="Times New Roman" w:hAnsi="Times New Roman"/>
          <w:sz w:val="24"/>
          <w:szCs w:val="24"/>
        </w:rPr>
        <w:t xml:space="preserve"> </w:t>
      </w:r>
    </w:p>
    <w:p w:rsidR="006B536A" w:rsidRPr="0059201C" w:rsidRDefault="00A52016" w:rsidP="00A52016">
      <w:pPr>
        <w:pStyle w:val="ListParagraph"/>
        <w:ind w:left="0" w:firstLine="708"/>
        <w:jc w:val="both"/>
        <w:rPr>
          <w:rFonts w:ascii="Times New Roman" w:hAnsi="Times New Roman"/>
          <w:i/>
          <w:sz w:val="20"/>
          <w:szCs w:val="24"/>
        </w:rPr>
      </w:pPr>
      <w:r w:rsidRPr="0059201C">
        <w:rPr>
          <w:rFonts w:ascii="Times New Roman" w:hAnsi="Times New Roman"/>
          <w:szCs w:val="28"/>
        </w:rPr>
        <w:t>Tabela: Pregled ukupnih prihoda kantona za</w:t>
      </w:r>
      <w:r w:rsidR="0059201C" w:rsidRPr="0059201C">
        <w:rPr>
          <w:rFonts w:ascii="Times New Roman" w:hAnsi="Times New Roman"/>
          <w:szCs w:val="28"/>
        </w:rPr>
        <w:t xml:space="preserve"> period</w:t>
      </w:r>
      <w:r w:rsidRPr="0059201C">
        <w:rPr>
          <w:rFonts w:ascii="Times New Roman" w:hAnsi="Times New Roman"/>
          <w:szCs w:val="28"/>
        </w:rPr>
        <w:t xml:space="preserve"> 2019. - 2022.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488"/>
        <w:gridCol w:w="1229"/>
        <w:gridCol w:w="941"/>
        <w:gridCol w:w="894"/>
        <w:gridCol w:w="675"/>
        <w:gridCol w:w="893"/>
        <w:gridCol w:w="521"/>
        <w:gridCol w:w="555"/>
        <w:gridCol w:w="893"/>
        <w:gridCol w:w="567"/>
        <w:gridCol w:w="827"/>
        <w:gridCol w:w="584"/>
      </w:tblGrid>
      <w:tr w:rsidR="006B536A" w:rsidRPr="006B536A" w:rsidTr="006B536A">
        <w:trPr>
          <w:trHeight w:val="34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Vrsta prihoda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Izvršenje 2018. godine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Budžet 2019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Index 3:2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Projekcija 2020.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Index 5:3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učešče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Projekcija 2021.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Inde</w:t>
            </w: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x</w:t>
            </w:r>
          </w:p>
          <w:p w:rsidR="006B536A" w:rsidRP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8:5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36A" w:rsidRP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Projekcija 2022.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36A" w:rsidRPr="006B536A" w:rsidRDefault="006B536A" w:rsidP="006B53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Index 10:8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sz w:val="12"/>
                <w:szCs w:val="12"/>
                <w:lang w:val="en-GB" w:eastAsia="en-GB"/>
              </w:rPr>
              <w:t>Ek. Kod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11</w:t>
            </w:r>
          </w:p>
        </w:tc>
      </w:tr>
      <w:tr w:rsidR="006B536A" w:rsidRPr="006B536A" w:rsidTr="006B536A">
        <w:trPr>
          <w:trHeight w:val="38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GB" w:eastAsia="en-GB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>Račun prihoda                                    ( I+II+III)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197.663.945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212.475.267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107,5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218.900.105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103,0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99,86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226.126.209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103,3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236.447.411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104,6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GB" w:eastAsia="en-GB"/>
              </w:rPr>
              <w:t>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>Porezni prihodi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172.107.707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175.613.784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185.732.118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105,8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84,73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192.426.209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103,6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202.747.411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105,4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717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 xml:space="preserve"> Indirektni porezi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142.470.246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145.126.581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101,9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153.748.708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105,9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70,14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159.119.400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103,5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167.955.080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105,6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711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Porez na dobit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13.439.030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14.035.080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104,4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14.553.027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103,7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6,64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15.106.042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103,8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15.710.284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104,0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716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Porez na  dohodak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16.198.431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16.452.123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101,6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17.430.383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105,9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7,95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18.200.767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104,4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19.082.047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104,8</w:t>
            </w:r>
          </w:p>
        </w:tc>
      </w:tr>
      <w:tr w:rsidR="006B536A" w:rsidRPr="006B536A" w:rsidTr="00D35BB4">
        <w:trPr>
          <w:trHeight w:val="148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 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GB" w:eastAsia="en-GB"/>
              </w:rPr>
              <w:t>II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>Neporezni prihodi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19.939.900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29.716.896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149,0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27.567.987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92,8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12,58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28.200.000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102,3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28.200.000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</w:tr>
      <w:tr w:rsidR="006B536A" w:rsidRPr="006B536A" w:rsidTr="006B536A">
        <w:trPr>
          <w:trHeight w:val="38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721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prihodi od nefin</w:t>
            </w:r>
            <w:r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.</w:t>
            </w: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 xml:space="preserve"> JP i fin JI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1.472.876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1.871.000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127,0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1.010.000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54,0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0,46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1.300.000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128,7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1.300.000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</w:tr>
      <w:tr w:rsidR="006B536A" w:rsidRPr="006B536A" w:rsidTr="006B536A">
        <w:trPr>
          <w:trHeight w:val="31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722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naknade,takse i javne usluge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14.394.687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23.645.896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164,3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22.357.987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94,6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10,20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22.400.000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22.400.000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723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novcane kazne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4.072.337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4.200.000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103,1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4.200.000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1,92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4.500.000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107,1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4.500.000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</w:tr>
      <w:tr w:rsidR="006B536A" w:rsidRPr="006B536A" w:rsidTr="00D35BB4">
        <w:trPr>
          <w:trHeight w:val="145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 </w:t>
            </w:r>
          </w:p>
        </w:tc>
      </w:tr>
      <w:tr w:rsidR="006B536A" w:rsidRPr="006B536A" w:rsidTr="006B536A">
        <w:trPr>
          <w:trHeight w:val="38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GB" w:eastAsia="en-GB"/>
              </w:rPr>
              <w:t>III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>Tekuće i kapitalne potpore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5.616.338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7.144.587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127,2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5.600.000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78,4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2,55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5.500.000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98,2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5.500.000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</w:tr>
      <w:tr w:rsidR="006B536A" w:rsidRPr="006B536A" w:rsidTr="006B536A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730/ 740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tekuće potore i donacije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5.616.338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7.144.587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127,2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5.600.000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78,4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2,55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5.500.000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98,2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5.500.000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</w:tr>
      <w:tr w:rsidR="006B536A" w:rsidRPr="006B536A" w:rsidTr="00D35BB4">
        <w:trPr>
          <w:trHeight w:val="147"/>
        </w:trPr>
        <w:tc>
          <w:tcPr>
            <w:tcW w:w="906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 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>B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 xml:space="preserve">Kapitalni primici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7.337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1362,9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0,05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</w:tr>
      <w:tr w:rsidR="006B536A" w:rsidRPr="006B536A" w:rsidTr="006B536A">
        <w:trPr>
          <w:trHeight w:val="43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811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  <w:lang w:val="en-GB" w:eastAsia="en-GB"/>
              </w:rPr>
            </w:pPr>
            <w:r w:rsidRPr="006B536A"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  <w:lang w:val="en-GB" w:eastAsia="en-GB"/>
              </w:rPr>
              <w:t xml:space="preserve"> Primici od prodaje stalnih sredstava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7.337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1362,9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0,05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</w:tr>
      <w:tr w:rsidR="006B536A" w:rsidRPr="006B536A" w:rsidTr="00D35BB4">
        <w:trPr>
          <w:trHeight w:val="146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 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>Račun finansiranja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GB" w:eastAsia="en-GB"/>
              </w:rPr>
              <w:t>222.914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GB" w:eastAsia="en-GB"/>
              </w:rPr>
              <w:t>12.031.517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GB" w:eastAsia="en-GB"/>
              </w:rPr>
              <w:t>200.000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1,66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0,09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813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Primici od primljenih otplata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222.914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250.000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112,2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200.000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80,00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0,09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100.000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100,0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814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  <w:t>Primici od zaduživanja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11.781.517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 </w:t>
            </w:r>
          </w:p>
        </w:tc>
      </w:tr>
      <w:tr w:rsidR="006B536A" w:rsidRPr="006B536A" w:rsidTr="006B536A">
        <w:trPr>
          <w:trHeight w:val="26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>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 xml:space="preserve">Ukupno </w:t>
            </w:r>
            <w:r w:rsidR="002C1BF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 xml:space="preserve">             </w:t>
            </w:r>
            <w:r w:rsidRPr="006B536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GB" w:eastAsia="en-GB"/>
              </w:rPr>
              <w:t>( A+B+C)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197.894.197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224.606.784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113,5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219.200.105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97,59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226.326.209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236.647.411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B536A" w:rsidRPr="006B536A" w:rsidRDefault="006B536A" w:rsidP="006B53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  <w:r w:rsidRPr="006B536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  <w:t>104,6</w:t>
            </w:r>
          </w:p>
        </w:tc>
      </w:tr>
    </w:tbl>
    <w:p w:rsidR="006B536A" w:rsidRPr="006B536A" w:rsidRDefault="006B536A" w:rsidP="004746F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1D33CB" w:rsidRDefault="001D33CB" w:rsidP="002A49D6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bookmarkStart w:id="19" w:name="_Toc298405222"/>
      <w:bookmarkStart w:id="20" w:name="_Toc298405637"/>
      <w:bookmarkStart w:id="21" w:name="_Toc422899931"/>
    </w:p>
    <w:p w:rsidR="002A49D6" w:rsidRPr="00DC06D7" w:rsidRDefault="008667BC" w:rsidP="00FE4A83">
      <w:pPr>
        <w:pStyle w:val="ListParagraph"/>
        <w:ind w:left="0"/>
        <w:jc w:val="both"/>
        <w:rPr>
          <w:rFonts w:ascii="Times New Roman" w:hAnsi="Times New Roman"/>
          <w:sz w:val="24"/>
        </w:rPr>
      </w:pPr>
      <w:r w:rsidRPr="00A52016">
        <w:rPr>
          <w:rFonts w:ascii="Times New Roman" w:hAnsi="Times New Roman"/>
          <w:sz w:val="24"/>
          <w:szCs w:val="24"/>
        </w:rPr>
        <w:t>U</w:t>
      </w:r>
      <w:r w:rsidR="002A49D6" w:rsidRPr="00A52016">
        <w:rPr>
          <w:rFonts w:ascii="Times New Roman" w:hAnsi="Times New Roman"/>
          <w:sz w:val="24"/>
          <w:szCs w:val="24"/>
        </w:rPr>
        <w:t>kupni prihodi na</w:t>
      </w:r>
      <w:r w:rsidR="0095566D">
        <w:rPr>
          <w:rFonts w:ascii="Times New Roman" w:hAnsi="Times New Roman"/>
          <w:sz w:val="24"/>
          <w:szCs w:val="24"/>
        </w:rPr>
        <w:t xml:space="preserve"> koje Kanton može računati</w:t>
      </w:r>
      <w:r w:rsidR="002A49D6" w:rsidRPr="00A52016">
        <w:rPr>
          <w:rFonts w:ascii="Times New Roman" w:hAnsi="Times New Roman"/>
          <w:sz w:val="24"/>
          <w:szCs w:val="24"/>
        </w:rPr>
        <w:t xml:space="preserve"> u 20</w:t>
      </w:r>
      <w:r w:rsidR="00DD2627" w:rsidRPr="00A52016">
        <w:rPr>
          <w:rFonts w:ascii="Times New Roman" w:hAnsi="Times New Roman"/>
          <w:sz w:val="24"/>
          <w:szCs w:val="24"/>
        </w:rPr>
        <w:t>20</w:t>
      </w:r>
      <w:r w:rsidR="002A49D6" w:rsidRPr="00A52016">
        <w:rPr>
          <w:rFonts w:ascii="Times New Roman" w:hAnsi="Times New Roman"/>
          <w:sz w:val="24"/>
          <w:szCs w:val="24"/>
        </w:rPr>
        <w:t xml:space="preserve">. godini </w:t>
      </w:r>
      <w:r w:rsidR="002A49D6" w:rsidRPr="00A52016">
        <w:rPr>
          <w:rFonts w:ascii="Times New Roman" w:hAnsi="Times New Roman"/>
          <w:i/>
          <w:sz w:val="24"/>
          <w:szCs w:val="24"/>
        </w:rPr>
        <w:t xml:space="preserve">iznose </w:t>
      </w:r>
      <w:r w:rsidRPr="00A52016">
        <w:rPr>
          <w:rFonts w:ascii="Times New Roman" w:hAnsi="Times New Roman"/>
          <w:i/>
          <w:sz w:val="24"/>
          <w:szCs w:val="24"/>
        </w:rPr>
        <w:t>2</w:t>
      </w:r>
      <w:r w:rsidR="00DD2627" w:rsidRPr="00A52016">
        <w:rPr>
          <w:rFonts w:ascii="Times New Roman" w:hAnsi="Times New Roman"/>
          <w:i/>
          <w:sz w:val="24"/>
          <w:szCs w:val="24"/>
        </w:rPr>
        <w:t>1</w:t>
      </w:r>
      <w:r w:rsidR="0059201C">
        <w:rPr>
          <w:rFonts w:ascii="Times New Roman" w:hAnsi="Times New Roman"/>
          <w:i/>
          <w:sz w:val="24"/>
          <w:szCs w:val="24"/>
        </w:rPr>
        <w:t>9</w:t>
      </w:r>
      <w:r w:rsidR="00DD2627" w:rsidRPr="00A52016">
        <w:rPr>
          <w:rFonts w:ascii="Times New Roman" w:hAnsi="Times New Roman"/>
          <w:i/>
          <w:sz w:val="24"/>
          <w:szCs w:val="24"/>
        </w:rPr>
        <w:t>,</w:t>
      </w:r>
      <w:r w:rsidR="0059201C">
        <w:rPr>
          <w:rFonts w:ascii="Times New Roman" w:hAnsi="Times New Roman"/>
          <w:i/>
          <w:sz w:val="24"/>
          <w:szCs w:val="24"/>
        </w:rPr>
        <w:t>2</w:t>
      </w:r>
      <w:r w:rsidR="00DD2627" w:rsidRPr="00A52016">
        <w:rPr>
          <w:rFonts w:ascii="Times New Roman" w:hAnsi="Times New Roman"/>
          <w:i/>
          <w:sz w:val="24"/>
          <w:szCs w:val="24"/>
        </w:rPr>
        <w:t>0</w:t>
      </w:r>
      <w:r w:rsidR="002A49D6" w:rsidRPr="00A52016">
        <w:rPr>
          <w:rFonts w:ascii="Times New Roman" w:hAnsi="Times New Roman"/>
          <w:i/>
          <w:sz w:val="24"/>
          <w:szCs w:val="24"/>
        </w:rPr>
        <w:t xml:space="preserve"> mil. KM</w:t>
      </w:r>
      <w:r w:rsidR="0095566D">
        <w:rPr>
          <w:rFonts w:ascii="Times New Roman" w:hAnsi="Times New Roman"/>
          <w:i/>
          <w:sz w:val="24"/>
          <w:szCs w:val="24"/>
        </w:rPr>
        <w:t>, bez</w:t>
      </w:r>
      <w:r w:rsidR="002A49D6" w:rsidRPr="00A52016">
        <w:rPr>
          <w:rFonts w:ascii="Times New Roman" w:hAnsi="Times New Roman"/>
          <w:i/>
          <w:sz w:val="24"/>
          <w:szCs w:val="24"/>
        </w:rPr>
        <w:t xml:space="preserve"> </w:t>
      </w:r>
      <w:r w:rsidR="0095566D">
        <w:rPr>
          <w:rFonts w:ascii="Times New Roman" w:hAnsi="Times New Roman"/>
          <w:i/>
          <w:sz w:val="24"/>
          <w:szCs w:val="24"/>
        </w:rPr>
        <w:t>zaduživanja</w:t>
      </w:r>
      <w:r w:rsidR="00741E1F">
        <w:rPr>
          <w:rFonts w:ascii="Times New Roman" w:hAnsi="Times New Roman"/>
          <w:i/>
          <w:sz w:val="24"/>
          <w:szCs w:val="24"/>
        </w:rPr>
        <w:t>,</w:t>
      </w:r>
      <w:r w:rsidR="0095566D">
        <w:rPr>
          <w:rFonts w:ascii="Times New Roman" w:hAnsi="Times New Roman"/>
          <w:i/>
          <w:sz w:val="24"/>
          <w:szCs w:val="24"/>
        </w:rPr>
        <w:t xml:space="preserve"> </w:t>
      </w:r>
      <w:r w:rsidR="002A49D6" w:rsidRPr="00A52016">
        <w:rPr>
          <w:rFonts w:ascii="Times New Roman" w:hAnsi="Times New Roman"/>
          <w:i/>
          <w:sz w:val="24"/>
          <w:szCs w:val="24"/>
        </w:rPr>
        <w:t>što je u odnosu  na Budžet 201</w:t>
      </w:r>
      <w:r w:rsidR="00DD2627" w:rsidRPr="00A52016">
        <w:rPr>
          <w:rFonts w:ascii="Times New Roman" w:hAnsi="Times New Roman"/>
          <w:i/>
          <w:sz w:val="24"/>
          <w:szCs w:val="24"/>
        </w:rPr>
        <w:t>9</w:t>
      </w:r>
      <w:r w:rsidR="002A49D6" w:rsidRPr="00A52016">
        <w:rPr>
          <w:rFonts w:ascii="Times New Roman" w:hAnsi="Times New Roman"/>
          <w:i/>
          <w:sz w:val="24"/>
          <w:szCs w:val="24"/>
        </w:rPr>
        <w:t xml:space="preserve">. godine </w:t>
      </w:r>
      <w:r w:rsidR="00741E1F">
        <w:rPr>
          <w:rFonts w:ascii="Times New Roman" w:hAnsi="Times New Roman"/>
          <w:i/>
          <w:sz w:val="24"/>
          <w:szCs w:val="24"/>
        </w:rPr>
        <w:t xml:space="preserve">manje </w:t>
      </w:r>
      <w:r w:rsidR="002A49D6" w:rsidRPr="00A52016">
        <w:rPr>
          <w:rFonts w:ascii="Times New Roman" w:hAnsi="Times New Roman"/>
          <w:i/>
          <w:sz w:val="24"/>
          <w:szCs w:val="24"/>
        </w:rPr>
        <w:t xml:space="preserve">za </w:t>
      </w:r>
      <w:r w:rsidR="00741E1F">
        <w:rPr>
          <w:rFonts w:ascii="Times New Roman" w:hAnsi="Times New Roman"/>
          <w:i/>
          <w:sz w:val="24"/>
          <w:szCs w:val="24"/>
        </w:rPr>
        <w:t>2,41</w:t>
      </w:r>
      <w:r w:rsidR="00DD2627" w:rsidRPr="00A52016">
        <w:rPr>
          <w:rFonts w:ascii="Times New Roman" w:hAnsi="Times New Roman"/>
          <w:i/>
          <w:sz w:val="24"/>
          <w:szCs w:val="24"/>
        </w:rPr>
        <w:t xml:space="preserve"> </w:t>
      </w:r>
      <w:r w:rsidR="002A49D6" w:rsidRPr="00A52016">
        <w:rPr>
          <w:rFonts w:ascii="Times New Roman" w:hAnsi="Times New Roman"/>
          <w:i/>
          <w:sz w:val="24"/>
          <w:szCs w:val="24"/>
        </w:rPr>
        <w:t xml:space="preserve">% ili u apsolutnom iznosu za </w:t>
      </w:r>
      <w:r w:rsidR="00741E1F">
        <w:rPr>
          <w:rFonts w:ascii="Times New Roman" w:hAnsi="Times New Roman"/>
          <w:i/>
          <w:sz w:val="24"/>
          <w:szCs w:val="24"/>
        </w:rPr>
        <w:t>5,4</w:t>
      </w:r>
      <w:r w:rsidR="002A49D6" w:rsidRPr="00A52016">
        <w:rPr>
          <w:rFonts w:ascii="Times New Roman" w:hAnsi="Times New Roman"/>
          <w:i/>
          <w:sz w:val="24"/>
          <w:szCs w:val="24"/>
        </w:rPr>
        <w:t xml:space="preserve"> mil</w:t>
      </w:r>
      <w:r w:rsidR="001602F5">
        <w:rPr>
          <w:rFonts w:ascii="Times New Roman" w:hAnsi="Times New Roman"/>
          <w:i/>
          <w:sz w:val="24"/>
          <w:szCs w:val="24"/>
        </w:rPr>
        <w:t>.</w:t>
      </w:r>
      <w:r w:rsidR="002A49D6" w:rsidRPr="00A52016">
        <w:rPr>
          <w:rFonts w:ascii="Times New Roman" w:hAnsi="Times New Roman"/>
          <w:i/>
          <w:sz w:val="24"/>
          <w:szCs w:val="24"/>
        </w:rPr>
        <w:t xml:space="preserve"> KM</w:t>
      </w:r>
      <w:r w:rsidR="00DD2627" w:rsidRPr="00A52016">
        <w:rPr>
          <w:rFonts w:ascii="Times New Roman" w:hAnsi="Times New Roman"/>
          <w:i/>
          <w:sz w:val="24"/>
          <w:szCs w:val="24"/>
        </w:rPr>
        <w:t>.</w:t>
      </w:r>
      <w:r w:rsidR="00745118">
        <w:rPr>
          <w:rFonts w:ascii="Times New Roman" w:hAnsi="Times New Roman"/>
          <w:i/>
          <w:sz w:val="24"/>
          <w:szCs w:val="24"/>
        </w:rPr>
        <w:t xml:space="preserve"> </w:t>
      </w:r>
      <w:r w:rsidR="002A49D6" w:rsidRPr="00A52016">
        <w:rPr>
          <w:rFonts w:ascii="Times New Roman" w:hAnsi="Times New Roman"/>
          <w:sz w:val="24"/>
          <w:szCs w:val="24"/>
        </w:rPr>
        <w:t xml:space="preserve">Blago povećanje ukupnih  prihoda od </w:t>
      </w:r>
      <w:r w:rsidR="004526B6" w:rsidRPr="00A52016">
        <w:rPr>
          <w:rFonts w:ascii="Times New Roman" w:hAnsi="Times New Roman"/>
          <w:sz w:val="24"/>
          <w:szCs w:val="24"/>
        </w:rPr>
        <w:t>3,</w:t>
      </w:r>
      <w:r w:rsidR="00741E1F">
        <w:rPr>
          <w:rFonts w:ascii="Times New Roman" w:hAnsi="Times New Roman"/>
          <w:sz w:val="24"/>
          <w:szCs w:val="24"/>
        </w:rPr>
        <w:t>0</w:t>
      </w:r>
      <w:r w:rsidR="002A49D6" w:rsidRPr="00A52016">
        <w:rPr>
          <w:rFonts w:ascii="Times New Roman" w:hAnsi="Times New Roman"/>
          <w:sz w:val="24"/>
          <w:szCs w:val="24"/>
        </w:rPr>
        <w:t xml:space="preserve"> % se očekuje u 20</w:t>
      </w:r>
      <w:r w:rsidR="004526B6" w:rsidRPr="00A52016">
        <w:rPr>
          <w:rFonts w:ascii="Times New Roman" w:hAnsi="Times New Roman"/>
          <w:sz w:val="24"/>
          <w:szCs w:val="24"/>
        </w:rPr>
        <w:t>2</w:t>
      </w:r>
      <w:r w:rsidR="00DD2627" w:rsidRPr="00A52016">
        <w:rPr>
          <w:rFonts w:ascii="Times New Roman" w:hAnsi="Times New Roman"/>
          <w:sz w:val="24"/>
          <w:szCs w:val="24"/>
        </w:rPr>
        <w:t>1</w:t>
      </w:r>
      <w:r w:rsidR="002A49D6" w:rsidRPr="00A52016">
        <w:rPr>
          <w:rFonts w:ascii="Times New Roman" w:hAnsi="Times New Roman"/>
          <w:sz w:val="24"/>
          <w:szCs w:val="24"/>
        </w:rPr>
        <w:t xml:space="preserve">. godini, dok se </w:t>
      </w:r>
      <w:r w:rsidR="002A49D6" w:rsidRPr="00A52016">
        <w:rPr>
          <w:rFonts w:ascii="Times New Roman" w:hAnsi="Times New Roman"/>
          <w:sz w:val="24"/>
          <w:szCs w:val="24"/>
        </w:rPr>
        <w:lastRenderedPageBreak/>
        <w:t>za 202</w:t>
      </w:r>
      <w:r w:rsidR="00DD2627" w:rsidRPr="00A52016">
        <w:rPr>
          <w:rFonts w:ascii="Times New Roman" w:hAnsi="Times New Roman"/>
          <w:sz w:val="24"/>
          <w:szCs w:val="24"/>
        </w:rPr>
        <w:t>2</w:t>
      </w:r>
      <w:r w:rsidR="002A49D6" w:rsidRPr="00A52016">
        <w:rPr>
          <w:rFonts w:ascii="Times New Roman" w:hAnsi="Times New Roman"/>
          <w:sz w:val="24"/>
          <w:szCs w:val="24"/>
        </w:rPr>
        <w:t xml:space="preserve">. godinu planira znatnije  povećanje od </w:t>
      </w:r>
      <w:r w:rsidR="00933D03" w:rsidRPr="00A52016">
        <w:rPr>
          <w:rFonts w:ascii="Times New Roman" w:hAnsi="Times New Roman"/>
          <w:sz w:val="24"/>
          <w:szCs w:val="24"/>
        </w:rPr>
        <w:t>4</w:t>
      </w:r>
      <w:r w:rsidR="004526B6" w:rsidRPr="00A52016">
        <w:rPr>
          <w:rFonts w:ascii="Times New Roman" w:hAnsi="Times New Roman"/>
          <w:sz w:val="24"/>
          <w:szCs w:val="24"/>
        </w:rPr>
        <w:t>,</w:t>
      </w:r>
      <w:r w:rsidR="00933D03" w:rsidRPr="00A52016">
        <w:rPr>
          <w:rFonts w:ascii="Times New Roman" w:hAnsi="Times New Roman"/>
          <w:sz w:val="24"/>
          <w:szCs w:val="24"/>
        </w:rPr>
        <w:t>6</w:t>
      </w:r>
      <w:r w:rsidR="002A49D6" w:rsidRPr="00A52016">
        <w:rPr>
          <w:rFonts w:ascii="Times New Roman" w:hAnsi="Times New Roman"/>
          <w:sz w:val="24"/>
          <w:szCs w:val="24"/>
        </w:rPr>
        <w:t xml:space="preserve"> %. </w:t>
      </w:r>
      <w:r w:rsidR="002A49D6" w:rsidRPr="00A52016">
        <w:rPr>
          <w:rFonts w:ascii="Times New Roman" w:hAnsi="Times New Roman"/>
          <w:sz w:val="24"/>
        </w:rPr>
        <w:t xml:space="preserve">Ukoliko ne dođe do značajnih poremećaja u ekonomskom razvoju odnosno ostalih makroekonomskih parametara u narednom periodu  očekuje se da bi kanton  mogao raspolagati sa </w:t>
      </w:r>
      <w:r w:rsidR="004526B6" w:rsidRPr="00A52016">
        <w:rPr>
          <w:rFonts w:ascii="Times New Roman" w:hAnsi="Times New Roman"/>
          <w:sz w:val="24"/>
        </w:rPr>
        <w:t>2</w:t>
      </w:r>
      <w:r w:rsidR="00933D03" w:rsidRPr="00A52016">
        <w:rPr>
          <w:rFonts w:ascii="Times New Roman" w:hAnsi="Times New Roman"/>
          <w:sz w:val="24"/>
        </w:rPr>
        <w:t>19</w:t>
      </w:r>
      <w:r w:rsidR="004526B6" w:rsidRPr="00A52016">
        <w:rPr>
          <w:rFonts w:ascii="Times New Roman" w:hAnsi="Times New Roman"/>
          <w:sz w:val="24"/>
        </w:rPr>
        <w:t>,</w:t>
      </w:r>
      <w:r w:rsidR="00933D03" w:rsidRPr="00A52016">
        <w:rPr>
          <w:rFonts w:ascii="Times New Roman" w:hAnsi="Times New Roman"/>
          <w:sz w:val="24"/>
        </w:rPr>
        <w:t>2</w:t>
      </w:r>
      <w:r w:rsidR="004526B6" w:rsidRPr="00A52016">
        <w:rPr>
          <w:rFonts w:ascii="Times New Roman" w:hAnsi="Times New Roman"/>
          <w:sz w:val="24"/>
        </w:rPr>
        <w:t>0</w:t>
      </w:r>
      <w:r w:rsidR="002A49D6" w:rsidRPr="00A52016">
        <w:rPr>
          <w:rFonts w:ascii="Times New Roman" w:hAnsi="Times New Roman"/>
          <w:sz w:val="24"/>
        </w:rPr>
        <w:t xml:space="preserve"> mil. KM  u 20</w:t>
      </w:r>
      <w:r w:rsidR="00933D03" w:rsidRPr="00A52016">
        <w:rPr>
          <w:rFonts w:ascii="Times New Roman" w:hAnsi="Times New Roman"/>
          <w:sz w:val="24"/>
        </w:rPr>
        <w:t>20</w:t>
      </w:r>
      <w:r w:rsidR="002A49D6" w:rsidRPr="00A52016">
        <w:rPr>
          <w:rFonts w:ascii="Times New Roman" w:hAnsi="Times New Roman"/>
          <w:sz w:val="24"/>
        </w:rPr>
        <w:t>. godini, te u 20</w:t>
      </w:r>
      <w:r w:rsidR="004526B6" w:rsidRPr="00A52016">
        <w:rPr>
          <w:rFonts w:ascii="Times New Roman" w:hAnsi="Times New Roman"/>
          <w:sz w:val="24"/>
        </w:rPr>
        <w:t>2</w:t>
      </w:r>
      <w:r w:rsidR="00933D03" w:rsidRPr="00A52016">
        <w:rPr>
          <w:rFonts w:ascii="Times New Roman" w:hAnsi="Times New Roman"/>
          <w:sz w:val="24"/>
        </w:rPr>
        <w:t>1</w:t>
      </w:r>
      <w:r w:rsidR="002A49D6" w:rsidRPr="00A52016">
        <w:rPr>
          <w:rFonts w:ascii="Times New Roman" w:hAnsi="Times New Roman"/>
          <w:sz w:val="24"/>
        </w:rPr>
        <w:t>. godini 2</w:t>
      </w:r>
      <w:r w:rsidR="00933D03" w:rsidRPr="00A52016">
        <w:rPr>
          <w:rFonts w:ascii="Times New Roman" w:hAnsi="Times New Roman"/>
          <w:sz w:val="24"/>
        </w:rPr>
        <w:t>26</w:t>
      </w:r>
      <w:r w:rsidR="004526B6" w:rsidRPr="00A52016">
        <w:rPr>
          <w:rFonts w:ascii="Times New Roman" w:hAnsi="Times New Roman"/>
          <w:sz w:val="24"/>
        </w:rPr>
        <w:t>,</w:t>
      </w:r>
      <w:r w:rsidR="00933D03" w:rsidRPr="00A52016">
        <w:rPr>
          <w:rFonts w:ascii="Times New Roman" w:hAnsi="Times New Roman"/>
          <w:sz w:val="24"/>
        </w:rPr>
        <w:t>37</w:t>
      </w:r>
      <w:r w:rsidR="002A49D6" w:rsidRPr="00A52016">
        <w:rPr>
          <w:rFonts w:ascii="Times New Roman" w:hAnsi="Times New Roman"/>
          <w:sz w:val="24"/>
        </w:rPr>
        <w:t xml:space="preserve"> mil.KM i </w:t>
      </w:r>
      <w:r w:rsidR="004526B6" w:rsidRPr="00A52016">
        <w:rPr>
          <w:rFonts w:ascii="Times New Roman" w:hAnsi="Times New Roman"/>
          <w:sz w:val="24"/>
        </w:rPr>
        <w:t>2</w:t>
      </w:r>
      <w:r w:rsidR="00933D03" w:rsidRPr="00A52016">
        <w:rPr>
          <w:rFonts w:ascii="Times New Roman" w:hAnsi="Times New Roman"/>
          <w:sz w:val="24"/>
        </w:rPr>
        <w:t>36</w:t>
      </w:r>
      <w:r w:rsidR="002A49D6" w:rsidRPr="00A52016">
        <w:rPr>
          <w:rFonts w:ascii="Times New Roman" w:hAnsi="Times New Roman"/>
          <w:sz w:val="24"/>
        </w:rPr>
        <w:t>,</w:t>
      </w:r>
      <w:r w:rsidR="00933D03" w:rsidRPr="00A52016">
        <w:rPr>
          <w:rFonts w:ascii="Times New Roman" w:hAnsi="Times New Roman"/>
          <w:sz w:val="24"/>
        </w:rPr>
        <w:t>65</w:t>
      </w:r>
      <w:r w:rsidR="002A49D6" w:rsidRPr="00A52016">
        <w:rPr>
          <w:rFonts w:ascii="Times New Roman" w:hAnsi="Times New Roman"/>
          <w:sz w:val="24"/>
        </w:rPr>
        <w:t xml:space="preserve"> mil. KM u 202</w:t>
      </w:r>
      <w:r w:rsidR="00933D03" w:rsidRPr="00A52016">
        <w:rPr>
          <w:rFonts w:ascii="Times New Roman" w:hAnsi="Times New Roman"/>
          <w:sz w:val="24"/>
        </w:rPr>
        <w:t>2</w:t>
      </w:r>
      <w:r w:rsidR="002A49D6" w:rsidRPr="00A52016">
        <w:rPr>
          <w:rFonts w:ascii="Times New Roman" w:hAnsi="Times New Roman"/>
          <w:sz w:val="24"/>
        </w:rPr>
        <w:t>. godini.</w:t>
      </w:r>
      <w:r w:rsidR="002A49D6" w:rsidRPr="00DC06D7">
        <w:rPr>
          <w:rFonts w:ascii="Times New Roman" w:hAnsi="Times New Roman"/>
          <w:sz w:val="24"/>
        </w:rPr>
        <w:t xml:space="preserve">  </w:t>
      </w:r>
    </w:p>
    <w:p w:rsidR="004746F9" w:rsidRDefault="002A49D6" w:rsidP="002A49D6">
      <w:pPr>
        <w:jc w:val="both"/>
        <w:rPr>
          <w:rFonts w:ascii="Times New Roman" w:hAnsi="Times New Roman"/>
          <w:b/>
          <w:i/>
          <w:sz w:val="24"/>
        </w:rPr>
      </w:pPr>
      <w:r w:rsidRPr="00014F8F">
        <w:rPr>
          <w:rFonts w:ascii="Times New Roman" w:hAnsi="Times New Roman"/>
          <w:b/>
          <w:i/>
          <w:sz w:val="24"/>
        </w:rPr>
        <w:t>Zbog toga posebnu pažnju pri planiranju budžeta za 20</w:t>
      </w:r>
      <w:r w:rsidR="00933D03">
        <w:rPr>
          <w:rFonts w:ascii="Times New Roman" w:hAnsi="Times New Roman"/>
          <w:b/>
          <w:i/>
          <w:sz w:val="24"/>
        </w:rPr>
        <w:t>20</w:t>
      </w:r>
      <w:r w:rsidRPr="00014F8F">
        <w:rPr>
          <w:rFonts w:ascii="Times New Roman" w:hAnsi="Times New Roman"/>
          <w:b/>
          <w:i/>
          <w:sz w:val="24"/>
        </w:rPr>
        <w:t>. godinu treb</w:t>
      </w:r>
      <w:r>
        <w:rPr>
          <w:rFonts w:ascii="Times New Roman" w:hAnsi="Times New Roman"/>
          <w:b/>
          <w:i/>
          <w:sz w:val="24"/>
        </w:rPr>
        <w:t>a obratiti na rashodovnu stranu</w:t>
      </w:r>
      <w:r w:rsidRPr="00014F8F">
        <w:rPr>
          <w:rFonts w:ascii="Times New Roman" w:hAnsi="Times New Roman"/>
          <w:b/>
          <w:i/>
          <w:sz w:val="24"/>
        </w:rPr>
        <w:t xml:space="preserve"> koja je u principu uvijek veća, jer su obaveze utvrđene zakonima daleko veće od prihodovne strane tj. realnih mogućnosti kantona.</w:t>
      </w:r>
    </w:p>
    <w:p w:rsidR="0059201C" w:rsidRDefault="0059201C" w:rsidP="00741E1F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65778F">
        <w:rPr>
          <w:rFonts w:ascii="Times New Roman" w:hAnsi="Times New Roman"/>
          <w:sz w:val="24"/>
          <w:szCs w:val="24"/>
        </w:rPr>
        <w:t xml:space="preserve">Nadalje, nije realno očekivati da će se kanton moći do kraja godine dodatno zadužiti za </w:t>
      </w:r>
      <w:r w:rsidR="00741E1F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11,78 mil.</w:t>
      </w:r>
      <w:r w:rsidRPr="006577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5778F">
        <w:rPr>
          <w:rFonts w:ascii="Times New Roman" w:hAnsi="Times New Roman"/>
          <w:sz w:val="24"/>
          <w:szCs w:val="24"/>
        </w:rPr>
        <w:t xml:space="preserve">KM, koliko nedostaje sredstava u odnosu na planirane rashode, </w:t>
      </w:r>
      <w:r w:rsidRPr="0065778F">
        <w:rPr>
          <w:rFonts w:ascii="Times New Roman" w:hAnsi="Times New Roman"/>
          <w:i/>
          <w:sz w:val="24"/>
          <w:szCs w:val="24"/>
        </w:rPr>
        <w:t>te će to biti još jedan izazov koji Vlada treba da razriješi i ozbiljno se pozabavi reformama svih sektora u cilju smanjenja javne potrošnje</w:t>
      </w:r>
      <w:r w:rsidR="00741E1F">
        <w:rPr>
          <w:rFonts w:ascii="Times New Roman" w:hAnsi="Times New Roman"/>
          <w:i/>
          <w:sz w:val="24"/>
          <w:szCs w:val="24"/>
        </w:rPr>
        <w:t xml:space="preserve">. </w:t>
      </w:r>
      <w:r w:rsidRPr="0065778F">
        <w:rPr>
          <w:rFonts w:ascii="Times New Roman" w:hAnsi="Times New Roman"/>
          <w:i/>
          <w:sz w:val="24"/>
          <w:szCs w:val="24"/>
        </w:rPr>
        <w:t>Naime, svi dosadašnji budžeti, tj rashodovne strane budžeta, daleko premašuju realni okvir raspoloživih sredstava, što dovodi Ministarstvo finansija u nez</w:t>
      </w:r>
      <w:r w:rsidR="00B03F88">
        <w:rPr>
          <w:rFonts w:ascii="Times New Roman" w:hAnsi="Times New Roman"/>
          <w:i/>
          <w:sz w:val="24"/>
          <w:szCs w:val="24"/>
        </w:rPr>
        <w:t xml:space="preserve">avidnu </w:t>
      </w:r>
      <w:r w:rsidRPr="0065778F">
        <w:rPr>
          <w:rFonts w:ascii="Times New Roman" w:hAnsi="Times New Roman"/>
          <w:i/>
          <w:sz w:val="24"/>
          <w:szCs w:val="24"/>
        </w:rPr>
        <w:t>situaciju da udovolji zahtjevima ali i zakonskoj potrebi planiranja budžeta u okviru realnih prihoda za dati period.</w:t>
      </w:r>
      <w:r w:rsidR="006E3193">
        <w:rPr>
          <w:rFonts w:ascii="Times New Roman" w:hAnsi="Times New Roman"/>
          <w:i/>
          <w:sz w:val="24"/>
          <w:szCs w:val="24"/>
        </w:rPr>
        <w:t xml:space="preserve"> </w:t>
      </w:r>
      <w:r w:rsidRPr="0065778F">
        <w:rPr>
          <w:rFonts w:ascii="Times New Roman" w:hAnsi="Times New Roman"/>
          <w:i/>
          <w:sz w:val="24"/>
          <w:szCs w:val="24"/>
        </w:rPr>
        <w:t>To je dovelo do akumuliranja nepokrivenog deficita koji iz godine u godinu se povećava i sa 31.12.201</w:t>
      </w:r>
      <w:r w:rsidR="00741E1F">
        <w:rPr>
          <w:rFonts w:ascii="Times New Roman" w:hAnsi="Times New Roman"/>
          <w:i/>
          <w:sz w:val="24"/>
          <w:szCs w:val="24"/>
        </w:rPr>
        <w:t>8</w:t>
      </w:r>
      <w:r w:rsidRPr="0065778F">
        <w:rPr>
          <w:rFonts w:ascii="Times New Roman" w:hAnsi="Times New Roman"/>
          <w:i/>
          <w:sz w:val="24"/>
          <w:szCs w:val="24"/>
        </w:rPr>
        <w:t>. iznosi 8</w:t>
      </w:r>
      <w:r w:rsidR="00741E1F">
        <w:rPr>
          <w:rFonts w:ascii="Times New Roman" w:hAnsi="Times New Roman"/>
          <w:i/>
          <w:sz w:val="24"/>
          <w:szCs w:val="24"/>
        </w:rPr>
        <w:t>3</w:t>
      </w:r>
      <w:r w:rsidRPr="0065778F">
        <w:rPr>
          <w:rFonts w:ascii="Times New Roman" w:hAnsi="Times New Roman"/>
          <w:i/>
          <w:sz w:val="24"/>
          <w:szCs w:val="24"/>
        </w:rPr>
        <w:t>,3 mil KM.  Ako se u narednom periodu ne poduzmu mjere koje će rezultirati smanjenjem rashoda i izdataka, kanton će vrlo brzo doći u situaciju da neće moći finansirati svoje obaveze.</w:t>
      </w:r>
      <w:bookmarkEnd w:id="19"/>
      <w:bookmarkEnd w:id="20"/>
      <w:bookmarkEnd w:id="21"/>
    </w:p>
    <w:p w:rsidR="0059201C" w:rsidRPr="00163BE8" w:rsidRDefault="0059201C" w:rsidP="0059201C">
      <w:pPr>
        <w:ind w:firstLine="708"/>
        <w:jc w:val="both"/>
        <w:rPr>
          <w:rFonts w:ascii="Times New Roman" w:hAnsi="Times New Roman"/>
          <w:szCs w:val="24"/>
        </w:rPr>
      </w:pPr>
      <w:r w:rsidRPr="00163BE8">
        <w:rPr>
          <w:rFonts w:ascii="Times New Roman" w:hAnsi="Times New Roman"/>
          <w:szCs w:val="24"/>
        </w:rPr>
        <w:t>Tabela : Pregled ostvarenih prihoda i rashoda u periodu od 2008.- do 2018.</w:t>
      </w:r>
    </w:p>
    <w:tbl>
      <w:tblPr>
        <w:tblW w:w="10656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788"/>
        <w:gridCol w:w="817"/>
        <w:gridCol w:w="849"/>
        <w:gridCol w:w="991"/>
        <w:gridCol w:w="1003"/>
        <w:gridCol w:w="915"/>
        <w:gridCol w:w="915"/>
        <w:gridCol w:w="915"/>
        <w:gridCol w:w="915"/>
        <w:gridCol w:w="860"/>
        <w:gridCol w:w="849"/>
        <w:gridCol w:w="839"/>
      </w:tblGrid>
      <w:tr w:rsidR="0059201C" w:rsidRPr="000448BC" w:rsidTr="00BF2CE0">
        <w:trPr>
          <w:trHeight w:val="3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2009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2014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2016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448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2017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01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  <w:p w:rsidR="0059201C" w:rsidRPr="000448B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hr-HR" w:eastAsia="hr-HR"/>
              </w:rPr>
              <w:t>2018</w:t>
            </w:r>
          </w:p>
        </w:tc>
      </w:tr>
      <w:tr w:rsidR="0059201C" w:rsidRPr="000448BC" w:rsidTr="00BF2CE0">
        <w:trPr>
          <w:trHeight w:val="37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7C4535" w:rsidRDefault="0059201C" w:rsidP="00BF2CE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hr-HR" w:eastAsia="hr-HR"/>
              </w:rPr>
            </w:pPr>
            <w:r w:rsidRPr="007C4535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hr-HR" w:eastAsia="hr-HR"/>
              </w:rPr>
              <w:t>A.Ukupni rashodi i izdaci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195.822.780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169.778.434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176.564.035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181.618.065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176.466.392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173.745.152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188.788.062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193.616.498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192.549.743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193.735.646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01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</w:p>
          <w:p w:rsidR="0059201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</w:p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196.002.640</w:t>
            </w:r>
          </w:p>
        </w:tc>
      </w:tr>
      <w:tr w:rsidR="0059201C" w:rsidRPr="000448BC" w:rsidTr="00BF2CE0">
        <w:trPr>
          <w:trHeight w:val="39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7C4535" w:rsidRDefault="0059201C" w:rsidP="00BF2CE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hr-HR" w:eastAsia="hr-HR"/>
              </w:rPr>
            </w:pPr>
            <w:r w:rsidRPr="007C4535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hr-HR" w:eastAsia="hr-HR"/>
              </w:rPr>
              <w:t xml:space="preserve">B.Ukupni prihodi primici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179.551.657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169.863.730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177.217.779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174.565.640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164.063.900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158.871.388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166.453.554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188.713.359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186.792.712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184.091.457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01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</w:p>
          <w:p w:rsidR="0059201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val="en-GB" w:eastAsia="en-GB"/>
              </w:rPr>
            </w:pPr>
          </w:p>
          <w:p w:rsidR="0059201C" w:rsidRPr="001602F5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  <w:lang w:val="en-GB" w:eastAsia="en-GB"/>
              </w:rPr>
            </w:pPr>
            <w:r w:rsidRPr="001602F5">
              <w:rPr>
                <w:rFonts w:ascii="Times New Roman" w:eastAsia="Times New Roman" w:hAnsi="Times New Roman"/>
                <w:bCs/>
                <w:sz w:val="12"/>
                <w:szCs w:val="12"/>
                <w:lang w:val="en-GB" w:eastAsia="en-GB"/>
              </w:rPr>
              <w:t>197.894.197</w:t>
            </w:r>
          </w:p>
        </w:tc>
      </w:tr>
      <w:tr w:rsidR="0059201C" w:rsidRPr="000448BC" w:rsidTr="00BF2CE0">
        <w:trPr>
          <w:trHeight w:val="5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01C" w:rsidRPr="007C4535" w:rsidRDefault="0059201C" w:rsidP="00BF2CE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hr-HR" w:eastAsia="hr-HR"/>
              </w:rPr>
            </w:pPr>
            <w:r w:rsidRPr="007C4535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hr-HR" w:eastAsia="hr-HR"/>
              </w:rPr>
              <w:t>C. (A-B) deficit/ Suficit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01C" w:rsidRPr="00F13DEE" w:rsidRDefault="0059201C" w:rsidP="00BF2CE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-16.271.123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85.296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653.744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-7.052.425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-12.402.492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-14.873.764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-22.334.508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-4.903.139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-5.757.031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 w:rsidRPr="00F13DEE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>-9.644.189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01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</w:p>
          <w:p w:rsidR="0059201C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  <w:t xml:space="preserve">    1.891.557</w:t>
            </w:r>
          </w:p>
          <w:p w:rsidR="0059201C" w:rsidRPr="00F13DEE" w:rsidRDefault="0059201C" w:rsidP="00BF2C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val="hr-HR" w:eastAsia="hr-HR"/>
              </w:rPr>
            </w:pPr>
          </w:p>
        </w:tc>
      </w:tr>
    </w:tbl>
    <w:p w:rsidR="0059201C" w:rsidRDefault="0059201C" w:rsidP="0059201C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59201C" w:rsidRDefault="0059201C" w:rsidP="0059201C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 naprijed navedenoj tabeli dat je pregled ostvarenih suficita tj. deficita u periodu od 2008. do 2018. godine. Na osnovu Zakona o budžetima akumulirani deficit se mora pokriti u periodu od pet godina, s tim da se planira tekući suficit u planskoj godini, što će kanton bez značajnijih reformi teško ostvariti. </w:t>
      </w:r>
    </w:p>
    <w:p w:rsidR="0059201C" w:rsidRDefault="0059201C" w:rsidP="0059201C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Nadalje, u cilju jačanja fiskalne odgovornosti, izmjenjen je Zakon o budžetima u FBiH kojim  </w:t>
      </w:r>
      <w:r w:rsidR="00B03F88">
        <w:rPr>
          <w:rFonts w:ascii="Times New Roman" w:hAnsi="Times New Roman"/>
          <w:i/>
          <w:sz w:val="24"/>
          <w:szCs w:val="24"/>
        </w:rPr>
        <w:t xml:space="preserve">je </w:t>
      </w:r>
      <w:r>
        <w:rPr>
          <w:rFonts w:ascii="Times New Roman" w:hAnsi="Times New Roman"/>
          <w:i/>
          <w:sz w:val="24"/>
          <w:szCs w:val="24"/>
        </w:rPr>
        <w:t>uv</w:t>
      </w:r>
      <w:r w:rsidR="00B03F88"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dena Izjava o fiskalnoj procjeni posljedica novih propisa na budžet, kojom se zahtjeva da predlagaći novih obaveza za budžet istovremeno moraju da predlože i izvore finansiranja istih. Na taj način spiječiti će se donošenje propisa koji se ne mogu realizirati.</w:t>
      </w:r>
    </w:p>
    <w:p w:rsidR="0059201C" w:rsidRDefault="0059201C" w:rsidP="0059201C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741E1F" w:rsidRPr="00723F5A" w:rsidRDefault="00741E1F" w:rsidP="00741E1F">
      <w:pPr>
        <w:pStyle w:val="Bodytext1"/>
        <w:shd w:val="clear" w:color="auto" w:fill="auto"/>
        <w:ind w:firstLine="0"/>
        <w:rPr>
          <w:rFonts w:ascii="Times New Roman" w:hAnsi="Times New Roman"/>
          <w:color w:val="000000"/>
          <w:sz w:val="24"/>
          <w:szCs w:val="24"/>
          <w:u w:val="single"/>
          <w:lang w:val="hr-HR"/>
        </w:rPr>
      </w:pPr>
      <w:r w:rsidRPr="00723F5A">
        <w:rPr>
          <w:rFonts w:ascii="Times New Roman" w:hAnsi="Times New Roman"/>
          <w:color w:val="000000"/>
          <w:sz w:val="24"/>
          <w:szCs w:val="24"/>
          <w:u w:val="single"/>
          <w:lang w:val="hr-HR"/>
        </w:rPr>
        <w:t>Rizici ostvarenja projeciranih prihoda mogu biti:</w:t>
      </w:r>
    </w:p>
    <w:p w:rsidR="00741E1F" w:rsidRPr="00DC06D7" w:rsidRDefault="00741E1F" w:rsidP="00741E1F">
      <w:pPr>
        <w:pStyle w:val="Bodytext1"/>
        <w:shd w:val="clear" w:color="auto" w:fill="auto"/>
        <w:ind w:firstLine="720"/>
        <w:rPr>
          <w:rFonts w:ascii="Times New Roman" w:hAnsi="Times New Roman"/>
          <w:color w:val="000000"/>
          <w:sz w:val="24"/>
          <w:szCs w:val="24"/>
          <w:lang w:val="hr-HR"/>
        </w:rPr>
      </w:pPr>
    </w:p>
    <w:p w:rsidR="00741E1F" w:rsidRPr="00DC06D7" w:rsidRDefault="00741E1F" w:rsidP="00741E1F">
      <w:pPr>
        <w:pStyle w:val="Bodytext1"/>
        <w:numPr>
          <w:ilvl w:val="0"/>
          <w:numId w:val="7"/>
        </w:numPr>
        <w:shd w:val="clear" w:color="auto" w:fill="auto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odstupanja od predviđenog ekonomskog rasta</w:t>
      </w:r>
      <w:r>
        <w:rPr>
          <w:rFonts w:ascii="Times New Roman" w:hAnsi="Times New Roman"/>
          <w:sz w:val="24"/>
          <w:szCs w:val="24"/>
          <w:lang w:val="hr-HR"/>
        </w:rPr>
        <w:t>;</w:t>
      </w:r>
    </w:p>
    <w:p w:rsidR="00741E1F" w:rsidRPr="00DC06D7" w:rsidRDefault="00741E1F" w:rsidP="00741E1F">
      <w:pPr>
        <w:pStyle w:val="Bodytext1"/>
        <w:numPr>
          <w:ilvl w:val="0"/>
          <w:numId w:val="7"/>
        </w:numPr>
        <w:shd w:val="clear" w:color="auto" w:fill="auto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izmjene poreznih politika</w:t>
      </w:r>
      <w:r>
        <w:rPr>
          <w:rFonts w:ascii="Times New Roman" w:hAnsi="Times New Roman"/>
          <w:sz w:val="24"/>
          <w:szCs w:val="24"/>
          <w:lang w:val="hr-HR"/>
        </w:rPr>
        <w:t>;</w:t>
      </w:r>
    </w:p>
    <w:p w:rsidR="00741E1F" w:rsidRPr="00DC06D7" w:rsidRDefault="00741E1F" w:rsidP="00741E1F">
      <w:pPr>
        <w:pStyle w:val="Bodytext1"/>
        <w:numPr>
          <w:ilvl w:val="0"/>
          <w:numId w:val="7"/>
        </w:numPr>
        <w:shd w:val="clear" w:color="auto" w:fill="auto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povećan povrat PD</w:t>
      </w:r>
      <w:r>
        <w:rPr>
          <w:rFonts w:ascii="Times New Roman" w:hAnsi="Times New Roman"/>
          <w:sz w:val="24"/>
          <w:szCs w:val="24"/>
          <w:lang w:val="hr-HR"/>
        </w:rPr>
        <w:t>V</w:t>
      </w:r>
      <w:r w:rsidRPr="00DC06D7">
        <w:rPr>
          <w:rFonts w:ascii="Times New Roman" w:hAnsi="Times New Roman"/>
          <w:sz w:val="24"/>
          <w:szCs w:val="24"/>
          <w:lang w:val="hr-HR"/>
        </w:rPr>
        <w:t>-a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sz w:val="24"/>
          <w:szCs w:val="24"/>
          <w:lang w:val="hr-HR"/>
        </w:rPr>
        <w:t>od predviđenog</w:t>
      </w:r>
      <w:r>
        <w:rPr>
          <w:rFonts w:ascii="Times New Roman" w:hAnsi="Times New Roman"/>
          <w:sz w:val="24"/>
          <w:szCs w:val="24"/>
          <w:lang w:val="hr-HR"/>
        </w:rPr>
        <w:t>;</w:t>
      </w:r>
    </w:p>
    <w:p w:rsidR="00741E1F" w:rsidRPr="00DC06D7" w:rsidRDefault="00741E1F" w:rsidP="00741E1F">
      <w:pPr>
        <w:pStyle w:val="Bodytext1"/>
        <w:numPr>
          <w:ilvl w:val="0"/>
          <w:numId w:val="7"/>
        </w:numPr>
        <w:shd w:val="clear" w:color="auto" w:fill="auto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odsustvo stabilnih koeficijenata raspodjele i promjena nivoa zaduženosti kada je riječ o prihodima od  indirektnih poreza</w:t>
      </w:r>
      <w:r>
        <w:rPr>
          <w:rFonts w:ascii="Times New Roman" w:hAnsi="Times New Roman"/>
          <w:sz w:val="24"/>
          <w:szCs w:val="24"/>
          <w:lang w:val="hr-HR"/>
        </w:rPr>
        <w:t>;</w:t>
      </w:r>
    </w:p>
    <w:p w:rsidR="00741E1F" w:rsidRPr="00DC06D7" w:rsidRDefault="00741E1F" w:rsidP="00741E1F">
      <w:pPr>
        <w:pStyle w:val="Bodytext1"/>
        <w:numPr>
          <w:ilvl w:val="0"/>
          <w:numId w:val="7"/>
        </w:numPr>
        <w:shd w:val="clear" w:color="auto" w:fill="auto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razvoj drugih nepredv</w:t>
      </w:r>
      <w:r>
        <w:rPr>
          <w:rFonts w:ascii="Times New Roman" w:hAnsi="Times New Roman"/>
          <w:sz w:val="24"/>
          <w:szCs w:val="24"/>
          <w:lang w:val="hr-HR"/>
        </w:rPr>
        <w:t>iđenih događaja( poplave i sl.).</w:t>
      </w:r>
    </w:p>
    <w:p w:rsidR="00741E1F" w:rsidRDefault="00741E1F" w:rsidP="00741E1F">
      <w:pPr>
        <w:pStyle w:val="Bodytext1"/>
        <w:shd w:val="clear" w:color="auto" w:fill="auto"/>
        <w:ind w:firstLine="720"/>
        <w:rPr>
          <w:rFonts w:ascii="Times New Roman" w:hAnsi="Times New Roman"/>
          <w:sz w:val="24"/>
          <w:szCs w:val="24"/>
          <w:lang w:val="hr-HR"/>
        </w:rPr>
      </w:pPr>
    </w:p>
    <w:p w:rsidR="0059201C" w:rsidRPr="00DC06D7" w:rsidRDefault="0059201C" w:rsidP="004746F9">
      <w:pPr>
        <w:pStyle w:val="Bodytext1"/>
        <w:shd w:val="clear" w:color="auto" w:fill="auto"/>
        <w:ind w:firstLine="720"/>
        <w:rPr>
          <w:rFonts w:ascii="Times New Roman" w:hAnsi="Times New Roman"/>
          <w:sz w:val="24"/>
          <w:szCs w:val="24"/>
          <w:lang w:val="hr-HR"/>
        </w:rPr>
      </w:pPr>
    </w:p>
    <w:p w:rsidR="004746F9" w:rsidRPr="006601C6" w:rsidRDefault="004746F9" w:rsidP="006601C6">
      <w:pPr>
        <w:pStyle w:val="Heading1"/>
        <w:rPr>
          <w:rFonts w:ascii="Times New Roman" w:hAnsi="Times New Roman"/>
        </w:rPr>
      </w:pPr>
      <w:r>
        <w:t xml:space="preserve"> </w:t>
      </w:r>
      <w:bookmarkStart w:id="22" w:name="_Toc9858442"/>
      <w:r w:rsidR="006601C6" w:rsidRPr="00F475EB">
        <w:rPr>
          <w:rFonts w:ascii="Times New Roman" w:hAnsi="Times New Roman"/>
          <w:sz w:val="28"/>
        </w:rPr>
        <w:t xml:space="preserve">6. </w:t>
      </w:r>
      <w:r w:rsidRPr="00F475EB">
        <w:rPr>
          <w:rFonts w:ascii="Times New Roman" w:hAnsi="Times New Roman"/>
          <w:sz w:val="28"/>
        </w:rPr>
        <w:t>PREDVIĐENE PROMJENE JAVNOG DUGA I STRATEGIJA UPRAVLJANJA JAVNIM DUGOM</w:t>
      </w:r>
      <w:bookmarkEnd w:id="22"/>
    </w:p>
    <w:p w:rsidR="00590F68" w:rsidRDefault="00590F68" w:rsidP="00590F68">
      <w:pPr>
        <w:jc w:val="both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 xml:space="preserve">     </w:t>
      </w:r>
      <w:r w:rsidRPr="00DC06D7">
        <w:rPr>
          <w:rFonts w:ascii="Times New Roman" w:hAnsi="Times New Roman"/>
          <w:sz w:val="24"/>
          <w:szCs w:val="24"/>
        </w:rPr>
        <w:t xml:space="preserve"> </w:t>
      </w:r>
      <w:r w:rsidRPr="00014F8F">
        <w:rPr>
          <w:rFonts w:ascii="Times New Roman" w:hAnsi="Times New Roman"/>
          <w:sz w:val="24"/>
          <w:szCs w:val="24"/>
        </w:rPr>
        <w:t>Vanjski i unutrašnji dug Unsko-sanskog kantona regulisan je Zakonom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4F8F">
        <w:rPr>
          <w:rFonts w:ascii="Times New Roman" w:hAnsi="Times New Roman"/>
          <w:sz w:val="24"/>
          <w:szCs w:val="24"/>
        </w:rPr>
        <w:t>o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4F8F">
        <w:rPr>
          <w:rFonts w:ascii="Times New Roman" w:hAnsi="Times New Roman"/>
          <w:sz w:val="24"/>
          <w:szCs w:val="24"/>
        </w:rPr>
        <w:t>dugu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014F8F">
        <w:rPr>
          <w:rFonts w:ascii="Times New Roman" w:hAnsi="Times New Roman"/>
          <w:sz w:val="24"/>
          <w:szCs w:val="24"/>
        </w:rPr>
        <w:t>zadu</w:t>
      </w:r>
      <w:r w:rsidRPr="00014F8F">
        <w:rPr>
          <w:rFonts w:ascii="Times New Roman" w:hAnsi="Times New Roman"/>
          <w:sz w:val="24"/>
          <w:szCs w:val="24"/>
          <w:lang w:val="hr-HR"/>
        </w:rPr>
        <w:t>ž</w:t>
      </w:r>
      <w:r w:rsidRPr="00014F8F">
        <w:rPr>
          <w:rFonts w:ascii="Times New Roman" w:hAnsi="Times New Roman"/>
          <w:sz w:val="24"/>
          <w:szCs w:val="24"/>
        </w:rPr>
        <w:t>ivanju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4F8F">
        <w:rPr>
          <w:rFonts w:ascii="Times New Roman" w:hAnsi="Times New Roman"/>
          <w:sz w:val="24"/>
          <w:szCs w:val="24"/>
        </w:rPr>
        <w:t>i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4F8F">
        <w:rPr>
          <w:rFonts w:ascii="Times New Roman" w:hAnsi="Times New Roman"/>
          <w:sz w:val="24"/>
          <w:szCs w:val="24"/>
        </w:rPr>
        <w:t>garancijama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4F8F">
        <w:rPr>
          <w:rFonts w:ascii="Times New Roman" w:hAnsi="Times New Roman"/>
          <w:sz w:val="24"/>
          <w:szCs w:val="24"/>
        </w:rPr>
        <w:t>u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4F8F">
        <w:rPr>
          <w:rFonts w:ascii="Times New Roman" w:hAnsi="Times New Roman"/>
          <w:sz w:val="24"/>
          <w:szCs w:val="24"/>
        </w:rPr>
        <w:t>Federaciji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4F8F">
        <w:rPr>
          <w:rFonts w:ascii="Times New Roman" w:hAnsi="Times New Roman"/>
          <w:sz w:val="24"/>
          <w:szCs w:val="24"/>
        </w:rPr>
        <w:t>Bosne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4F8F">
        <w:rPr>
          <w:rFonts w:ascii="Times New Roman" w:hAnsi="Times New Roman"/>
          <w:sz w:val="24"/>
          <w:szCs w:val="24"/>
        </w:rPr>
        <w:t>i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4F8F">
        <w:rPr>
          <w:rFonts w:ascii="Times New Roman" w:hAnsi="Times New Roman"/>
          <w:sz w:val="24"/>
          <w:szCs w:val="24"/>
        </w:rPr>
        <w:t>Hercegovine</w:t>
      </w:r>
      <w:r w:rsidRPr="00014F8F">
        <w:rPr>
          <w:rFonts w:ascii="Times New Roman" w:hAnsi="Times New Roman"/>
          <w:sz w:val="24"/>
          <w:szCs w:val="24"/>
          <w:lang w:val="hr-HR"/>
        </w:rPr>
        <w:t xml:space="preserve"> („Službene novine FBiH“ broj 86/07, 24/09,  44/10) , Zakonom o budžetima u Federaciji BiH </w:t>
      </w:r>
      <w:r w:rsidRPr="00014F8F">
        <w:rPr>
          <w:rFonts w:ascii="Times New Roman" w:hAnsi="Times New Roman"/>
          <w:sz w:val="24"/>
          <w:szCs w:val="24"/>
        </w:rPr>
        <w:t>BiH (“Službene novine FBiH”, broj: 102/13, 9/14, 13/14,8/15,91/15</w:t>
      </w:r>
      <w:r>
        <w:rPr>
          <w:rFonts w:ascii="Times New Roman" w:hAnsi="Times New Roman"/>
          <w:sz w:val="24"/>
          <w:szCs w:val="24"/>
        </w:rPr>
        <w:t>,</w:t>
      </w:r>
      <w:r w:rsidRPr="00014F8F">
        <w:rPr>
          <w:rFonts w:ascii="Times New Roman" w:hAnsi="Times New Roman"/>
          <w:sz w:val="24"/>
          <w:szCs w:val="24"/>
        </w:rPr>
        <w:t>102/15</w:t>
      </w:r>
      <w:r w:rsidR="003233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104/16</w:t>
      </w:r>
      <w:r w:rsidR="003233FD">
        <w:rPr>
          <w:rFonts w:ascii="Times New Roman" w:hAnsi="Times New Roman"/>
          <w:sz w:val="24"/>
          <w:szCs w:val="24"/>
        </w:rPr>
        <w:t>, 5/18,</w:t>
      </w:r>
      <w:r w:rsidR="001602F5">
        <w:rPr>
          <w:rFonts w:ascii="Times New Roman" w:hAnsi="Times New Roman"/>
          <w:sz w:val="24"/>
          <w:szCs w:val="24"/>
        </w:rPr>
        <w:t xml:space="preserve"> </w:t>
      </w:r>
      <w:r w:rsidR="003233FD">
        <w:rPr>
          <w:rFonts w:ascii="Times New Roman" w:hAnsi="Times New Roman"/>
          <w:sz w:val="24"/>
          <w:szCs w:val="24"/>
        </w:rPr>
        <w:t xml:space="preserve">44/18 i 11/19 </w:t>
      </w:r>
      <w:r w:rsidRPr="00014F8F">
        <w:rPr>
          <w:rFonts w:ascii="Times New Roman" w:hAnsi="Times New Roman"/>
          <w:sz w:val="24"/>
          <w:szCs w:val="24"/>
        </w:rPr>
        <w:t>),  Zakonom o trezoru u Federaciji Bosne i Hercegovine („Službene novine Federacije BiH“, br</w:t>
      </w:r>
      <w:r>
        <w:rPr>
          <w:rFonts w:ascii="Times New Roman" w:hAnsi="Times New Roman"/>
          <w:sz w:val="24"/>
          <w:szCs w:val="24"/>
        </w:rPr>
        <w:t xml:space="preserve">oj </w:t>
      </w:r>
      <w:r w:rsidRPr="00014F8F">
        <w:rPr>
          <w:rFonts w:ascii="Times New Roman" w:hAnsi="Times New Roman"/>
          <w:sz w:val="24"/>
          <w:szCs w:val="24"/>
        </w:rPr>
        <w:t xml:space="preserve">: 26/16) i Zakonom o izvršavanju Budžeta Unsko-sanskog kantona za tekuću godinu. </w:t>
      </w:r>
    </w:p>
    <w:p w:rsidR="00590F68" w:rsidRPr="006601C6" w:rsidRDefault="00590F68" w:rsidP="006601C6">
      <w:pPr>
        <w:pStyle w:val="Heading2"/>
        <w:rPr>
          <w:rFonts w:ascii="Times New Roman" w:hAnsi="Times New Roman"/>
        </w:rPr>
      </w:pPr>
      <w:bookmarkStart w:id="23" w:name="_Toc9858443"/>
      <w:r w:rsidRPr="006601C6">
        <w:rPr>
          <w:rFonts w:ascii="Times New Roman" w:hAnsi="Times New Roman"/>
        </w:rPr>
        <w:t>6.1. Obaveze kantona</w:t>
      </w:r>
      <w:bookmarkEnd w:id="23"/>
      <w:r w:rsidRPr="006601C6">
        <w:rPr>
          <w:rFonts w:ascii="Times New Roman" w:hAnsi="Times New Roman"/>
        </w:rPr>
        <w:t xml:space="preserve"> </w:t>
      </w:r>
    </w:p>
    <w:p w:rsidR="00590F68" w:rsidRDefault="00590F68" w:rsidP="00590F6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6586">
        <w:rPr>
          <w:rFonts w:ascii="Times New Roman" w:hAnsi="Times New Roman"/>
          <w:sz w:val="24"/>
          <w:szCs w:val="24"/>
          <w:lang w:val="hr-HR"/>
        </w:rPr>
        <w:t>Na osnovu podataka iz konsolidiranog godišnjeg obračuna kantona ukupne obaveze kantona na dan 31.12. 201</w:t>
      </w:r>
      <w:r w:rsidR="00FD2184">
        <w:rPr>
          <w:rFonts w:ascii="Times New Roman" w:hAnsi="Times New Roman"/>
          <w:sz w:val="24"/>
          <w:szCs w:val="24"/>
          <w:lang w:val="hr-HR"/>
        </w:rPr>
        <w:t>8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. godine iznose </w:t>
      </w:r>
      <w:r w:rsidR="004131E5">
        <w:rPr>
          <w:rFonts w:ascii="Times New Roman" w:hAnsi="Times New Roman"/>
          <w:sz w:val="24"/>
          <w:szCs w:val="24"/>
          <w:lang w:val="hr-HR"/>
        </w:rPr>
        <w:t>132.041.343,81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KM, i to : </w:t>
      </w:r>
    </w:p>
    <w:p w:rsidR="00590F68" w:rsidRPr="00816BC4" w:rsidRDefault="00590F68" w:rsidP="00816BC4">
      <w:pPr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946586">
        <w:rPr>
          <w:rFonts w:ascii="Times New Roman" w:hAnsi="Times New Roman"/>
          <w:sz w:val="24"/>
          <w:szCs w:val="24"/>
          <w:lang w:val="hr-HR"/>
        </w:rPr>
        <w:t>Kratkoročne obaveze i razgraničenja --------</w:t>
      </w:r>
      <w:r w:rsidR="00816BC4" w:rsidRPr="00935B61">
        <w:rPr>
          <w:rFonts w:ascii="Times New Roman" w:hAnsi="Times New Roman"/>
          <w:color w:val="000000"/>
          <w:sz w:val="24"/>
          <w:szCs w:val="24"/>
        </w:rPr>
        <w:t>73.</w:t>
      </w:r>
      <w:r w:rsidR="00575F0F">
        <w:rPr>
          <w:rFonts w:ascii="Times New Roman" w:hAnsi="Times New Roman"/>
          <w:color w:val="000000"/>
          <w:sz w:val="24"/>
          <w:szCs w:val="24"/>
        </w:rPr>
        <w:t>703.388,97</w:t>
      </w:r>
      <w:r w:rsidR="006F0F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6BC4">
        <w:rPr>
          <w:rFonts w:ascii="Times New Roman" w:hAnsi="Times New Roman"/>
          <w:color w:val="000000"/>
          <w:sz w:val="24"/>
          <w:szCs w:val="24"/>
        </w:rPr>
        <w:t>KM</w:t>
      </w:r>
      <w:r w:rsidRPr="00946586">
        <w:rPr>
          <w:rFonts w:ascii="Times New Roman" w:hAnsi="Times New Roman"/>
        </w:rPr>
        <w:t xml:space="preserve"> 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590F68" w:rsidRPr="006F0F90" w:rsidRDefault="00590F68" w:rsidP="006F0F90">
      <w:pPr>
        <w:ind w:left="-41"/>
        <w:jc w:val="both"/>
        <w:rPr>
          <w:rFonts w:ascii="Times New Roman" w:hAnsi="Times New Roman"/>
          <w:sz w:val="24"/>
          <w:szCs w:val="24"/>
        </w:rPr>
      </w:pPr>
      <w:r w:rsidRPr="00946586">
        <w:rPr>
          <w:rFonts w:ascii="Times New Roman" w:hAnsi="Times New Roman"/>
          <w:sz w:val="24"/>
          <w:szCs w:val="24"/>
          <w:lang w:val="hr-HR"/>
        </w:rPr>
        <w:t>Dugoročne obaveze ----------------------------</w:t>
      </w:r>
      <w:r w:rsidR="00575F0F">
        <w:rPr>
          <w:rFonts w:ascii="Times New Roman" w:hAnsi="Times New Roman"/>
          <w:sz w:val="24"/>
          <w:szCs w:val="24"/>
          <w:lang w:val="hr-HR"/>
        </w:rPr>
        <w:t>-</w:t>
      </w:r>
      <w:bookmarkStart w:id="24" w:name="_GoBack"/>
      <w:bookmarkEnd w:id="24"/>
      <w:r w:rsidR="00575F0F">
        <w:rPr>
          <w:rFonts w:ascii="Times New Roman" w:hAnsi="Times New Roman"/>
          <w:sz w:val="24"/>
          <w:szCs w:val="24"/>
        </w:rPr>
        <w:t>58.337.954,51</w:t>
      </w:r>
      <w:r w:rsidR="006F0F90">
        <w:rPr>
          <w:rFonts w:ascii="Times New Roman" w:hAnsi="Times New Roman"/>
          <w:sz w:val="24"/>
          <w:szCs w:val="24"/>
        </w:rPr>
        <w:t xml:space="preserve"> KM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A52016" w:rsidRDefault="00590F68" w:rsidP="00590F68">
      <w:pPr>
        <w:jc w:val="both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5B61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Dospjele obaveze po pravosnažnim presudama i izvršnim sudskim rješenjima na dan 3</w:t>
      </w:r>
      <w:r w:rsidR="004131E5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935B61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4131E5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935B61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.201</w:t>
      </w:r>
      <w:r w:rsidR="004131E5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935B61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.g iznose 7</w:t>
      </w:r>
      <w:r w:rsidR="004131E5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816BC4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131E5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575</w:t>
      </w:r>
      <w:r w:rsidR="00816BC4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131E5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948</w:t>
      </w:r>
      <w:r w:rsidRPr="00935B61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KM i nisu evidentirane u glavnoj knjizi Trezora. Navedene obaveze su knjižene u vanbilansnoj evidenciji i iste nisu utjecala na finansijski rezultat. </w:t>
      </w:r>
    </w:p>
    <w:p w:rsidR="00732C06" w:rsidRPr="00732C06" w:rsidRDefault="00732C06" w:rsidP="00732C06">
      <w:pPr>
        <w:jc w:val="both"/>
        <w:rPr>
          <w:rFonts w:ascii="Times New Roman" w:hAnsi="Times New Roman"/>
          <w:b/>
          <w:sz w:val="24"/>
        </w:rPr>
      </w:pPr>
      <w:r w:rsidRPr="00732C06">
        <w:rPr>
          <w:rFonts w:ascii="Times New Roman" w:hAnsi="Times New Roman"/>
          <w:i/>
          <w:sz w:val="24"/>
          <w:lang w:val="en-GB"/>
        </w:rPr>
        <w:t xml:space="preserve">Prihodi s kojima raspolaže Kanton, kao i projekcije za trogodišnji period, </w:t>
      </w:r>
      <w:r w:rsidRPr="00732C06">
        <w:rPr>
          <w:rFonts w:ascii="Times New Roman" w:hAnsi="Times New Roman"/>
          <w:i/>
          <w:sz w:val="24"/>
        </w:rPr>
        <w:t xml:space="preserve">nisu dovoljni da se isfinansiraju sve zakonom propisane tekuće obaveze Kantona, te bi za ove namjene trebalo uz pomoć viših nivoa vlasti </w:t>
      </w:r>
      <w:r w:rsidRPr="00732C06">
        <w:rPr>
          <w:rFonts w:ascii="Times New Roman" w:hAnsi="Times New Roman"/>
          <w:b/>
          <w:sz w:val="24"/>
        </w:rPr>
        <w:t>obezbjediti sredstva za prevazilaženje ovog problema</w:t>
      </w:r>
      <w:r w:rsidRPr="00732C06">
        <w:rPr>
          <w:rFonts w:ascii="Times New Roman" w:hAnsi="Times New Roman"/>
          <w:sz w:val="24"/>
        </w:rPr>
        <w:t xml:space="preserve">, </w:t>
      </w:r>
      <w:r w:rsidRPr="00732C06">
        <w:rPr>
          <w:rFonts w:ascii="Times New Roman" w:hAnsi="Times New Roman"/>
          <w:b/>
          <w:sz w:val="24"/>
        </w:rPr>
        <w:t>koji iz dana u dan postaje sve teži i prouzrokuje stvaranje dodatnih</w:t>
      </w:r>
      <w:r w:rsidR="00B03F88">
        <w:rPr>
          <w:rFonts w:ascii="Times New Roman" w:hAnsi="Times New Roman"/>
          <w:b/>
          <w:sz w:val="24"/>
        </w:rPr>
        <w:t xml:space="preserve"> </w:t>
      </w:r>
      <w:r w:rsidRPr="00732C06">
        <w:rPr>
          <w:rFonts w:ascii="Times New Roman" w:hAnsi="Times New Roman"/>
          <w:b/>
          <w:sz w:val="24"/>
        </w:rPr>
        <w:t>većih troškova za Kanton, koji ga mogu dovesti u opću nelikvidnost i blokadu.</w:t>
      </w:r>
    </w:p>
    <w:p w:rsidR="00732C06" w:rsidRPr="00732C06" w:rsidRDefault="00732C06" w:rsidP="00732C06">
      <w:pPr>
        <w:jc w:val="both"/>
        <w:rPr>
          <w:rFonts w:ascii="Times New Roman" w:hAnsi="Times New Roman"/>
          <w:b/>
          <w:i/>
          <w:sz w:val="24"/>
          <w:lang w:val="en-GB"/>
        </w:rPr>
      </w:pPr>
      <w:r w:rsidRPr="00732C06">
        <w:rPr>
          <w:rFonts w:ascii="Times New Roman" w:hAnsi="Times New Roman"/>
          <w:b/>
          <w:i/>
          <w:sz w:val="24"/>
          <w:lang w:val="en-GB"/>
        </w:rPr>
        <w:t>Svjesni obaveza, naprijed navedenih, Vlada Unsko-sanskog kantona je :</w:t>
      </w:r>
    </w:p>
    <w:p w:rsidR="00732C06" w:rsidRPr="00732C06" w:rsidRDefault="00732C06" w:rsidP="00732C0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lang w:val="en-GB"/>
        </w:rPr>
      </w:pPr>
      <w:r w:rsidRPr="00732C06">
        <w:rPr>
          <w:rFonts w:ascii="Times New Roman" w:hAnsi="Times New Roman"/>
          <w:i/>
          <w:sz w:val="24"/>
          <w:lang w:val="en-GB"/>
        </w:rPr>
        <w:t>Zadužila resorna ministarstva da imenuju Radne timove po sektorima, koji će obaviti razgovore sa imaocima pravosnažnih sudskih odluka, na način da se pozovu (putem sredstava informisanja) da svoja potraživanja prijave i da se izjasne da li su spremni odreći se kamate i dijela glavnice (25%-50% glavnice). Na ovaj način bi utvrdili visinu sredstava koja je potrebna Kantonu za isplatu pravosnažnih sudskih odluka, kao i jedinstvene kriterije po kojima bi se odredili prioriteti u dodjeli sredstava po ovom osnovu.</w:t>
      </w:r>
    </w:p>
    <w:p w:rsidR="00732C06" w:rsidRPr="00732C06" w:rsidRDefault="00732C06" w:rsidP="00732C0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lang w:val="en-GB"/>
        </w:rPr>
      </w:pPr>
      <w:r w:rsidRPr="00732C06">
        <w:rPr>
          <w:rFonts w:ascii="Times New Roman" w:hAnsi="Times New Roman"/>
          <w:i/>
          <w:sz w:val="24"/>
          <w:lang w:val="en-GB"/>
        </w:rPr>
        <w:t>Ist</w:t>
      </w:r>
      <w:r w:rsidR="00B03F88">
        <w:rPr>
          <w:rFonts w:ascii="Times New Roman" w:hAnsi="Times New Roman"/>
          <w:i/>
          <w:sz w:val="24"/>
          <w:lang w:val="en-GB"/>
        </w:rPr>
        <w:t>o</w:t>
      </w:r>
      <w:r w:rsidRPr="00732C06">
        <w:rPr>
          <w:rFonts w:ascii="Times New Roman" w:hAnsi="Times New Roman"/>
          <w:i/>
          <w:sz w:val="24"/>
          <w:lang w:val="en-GB"/>
        </w:rPr>
        <w:t xml:space="preserve"> tako Vlada je zadužila Ministarstvo finansija da pokrene postupak za dobivanje saglasnosti za kreditno zaduženje u svrhu izmirenja duga po osnovu pravosnažnih sudskih odluka.</w:t>
      </w:r>
    </w:p>
    <w:p w:rsidR="00732C06" w:rsidRPr="00732C06" w:rsidRDefault="00732C06" w:rsidP="00732C0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lang w:val="en-GB"/>
        </w:rPr>
      </w:pPr>
      <w:r w:rsidRPr="00732C06">
        <w:rPr>
          <w:rFonts w:ascii="Times New Roman" w:hAnsi="Times New Roman"/>
          <w:i/>
          <w:sz w:val="24"/>
          <w:lang w:val="en-GB"/>
        </w:rPr>
        <w:t xml:space="preserve">Po obezbjeđenju sredstava, nakon objavljenog javnog poziva, a u cilju postizanja vansudske nagodbe sa svim imaocima pravosnažnih sudskih odluka potpisao bi se sporazum o načinu isplate njihovih potraživanja. </w:t>
      </w:r>
    </w:p>
    <w:p w:rsidR="00732C06" w:rsidRPr="00732C06" w:rsidRDefault="00732C06" w:rsidP="00732C06">
      <w:pPr>
        <w:jc w:val="both"/>
        <w:rPr>
          <w:rFonts w:ascii="Times New Roman" w:hAnsi="Times New Roman"/>
          <w:i/>
          <w:sz w:val="24"/>
          <w:lang w:val="en-GB"/>
        </w:rPr>
      </w:pPr>
      <w:bookmarkStart w:id="25" w:name="_Hlk4147901"/>
    </w:p>
    <w:bookmarkEnd w:id="25"/>
    <w:p w:rsidR="00732C06" w:rsidRPr="00732C06" w:rsidRDefault="00732C06" w:rsidP="00732C06">
      <w:pPr>
        <w:jc w:val="both"/>
        <w:rPr>
          <w:rFonts w:ascii="Times New Roman" w:hAnsi="Times New Roman"/>
          <w:b/>
          <w:i/>
          <w:sz w:val="24"/>
          <w:lang w:val="en-GB"/>
        </w:rPr>
      </w:pPr>
      <w:r w:rsidRPr="00732C06">
        <w:rPr>
          <w:rFonts w:ascii="Times New Roman" w:hAnsi="Times New Roman"/>
          <w:i/>
          <w:sz w:val="24"/>
          <w:lang w:val="en-GB"/>
        </w:rPr>
        <w:t xml:space="preserve"> Dakle, ukoliko uzmemo rok od 10 godina na iznos od 80 miliona KM umanjen za 25%, bez kamata, (ako se svi tražioci izvršenja odreknu kamata i dijela glavnice) neophodno je obezbjediti preko 6,00 miliona KM godišnje, </w:t>
      </w:r>
      <w:r w:rsidRPr="00732C06">
        <w:rPr>
          <w:rFonts w:ascii="Times New Roman" w:hAnsi="Times New Roman"/>
          <w:b/>
          <w:i/>
          <w:sz w:val="24"/>
          <w:lang w:val="en-GB"/>
        </w:rPr>
        <w:t>što Kanton u prvim godinama izvršavanja vlastitim prihodima ne bi mogao obezbjediti.</w:t>
      </w:r>
    </w:p>
    <w:p w:rsidR="00732C06" w:rsidRPr="00732C06" w:rsidRDefault="00732C06" w:rsidP="00732C06">
      <w:pPr>
        <w:jc w:val="both"/>
        <w:rPr>
          <w:rFonts w:ascii="Times New Roman" w:hAnsi="Times New Roman"/>
          <w:i/>
          <w:sz w:val="24"/>
          <w:lang w:val="en-GB"/>
        </w:rPr>
      </w:pPr>
      <w:r w:rsidRPr="00732C06">
        <w:rPr>
          <w:rFonts w:ascii="Times New Roman" w:hAnsi="Times New Roman"/>
          <w:i/>
          <w:sz w:val="24"/>
          <w:lang w:val="en-GB"/>
        </w:rPr>
        <w:lastRenderedPageBreak/>
        <w:t>Za slučaj da se svi ne odreknu kamata i glavnice, u skladu sa Zakonom o izvršnom postupku potrebno je osigurati 0,3% ukupno planiranih prihoda u budžetu, što se i odrađuje.</w:t>
      </w:r>
    </w:p>
    <w:p w:rsidR="00732C06" w:rsidRPr="00732C06" w:rsidRDefault="00732C06" w:rsidP="00732C06">
      <w:pPr>
        <w:ind w:firstLine="708"/>
        <w:jc w:val="both"/>
        <w:rPr>
          <w:rFonts w:ascii="Times New Roman" w:hAnsi="Times New Roman"/>
          <w:sz w:val="24"/>
        </w:rPr>
      </w:pPr>
      <w:r w:rsidRPr="00732C06">
        <w:rPr>
          <w:rFonts w:ascii="Times New Roman" w:hAnsi="Times New Roman"/>
          <w:sz w:val="24"/>
        </w:rPr>
        <w:t>Imajući u vidu trenutne kreditne obaveze, kao i ograničenja  utvrđena zakonom, za novo kreditno zaduženje neophodna je saglasnost Federalnog ministarstva finansija i Skupštine Unsko-sanskog kantona.</w:t>
      </w:r>
    </w:p>
    <w:p w:rsidR="00732C06" w:rsidRPr="00732C06" w:rsidRDefault="00732C06" w:rsidP="00732C06">
      <w:pPr>
        <w:pStyle w:val="ListParagraph"/>
        <w:jc w:val="both"/>
        <w:rPr>
          <w:rFonts w:ascii="Times New Roman" w:hAnsi="Times New Roman"/>
          <w:sz w:val="24"/>
        </w:rPr>
      </w:pPr>
      <w:r w:rsidRPr="00732C06">
        <w:rPr>
          <w:rFonts w:ascii="Times New Roman" w:hAnsi="Times New Roman"/>
          <w:sz w:val="24"/>
        </w:rPr>
        <w:t xml:space="preserve">Zavisno od obezbjeđenih sredstava rješenje ovog problema moglo bi se realizirati na sledeći naćin: </w:t>
      </w:r>
    </w:p>
    <w:p w:rsidR="00732C06" w:rsidRPr="00732C06" w:rsidRDefault="00732C06" w:rsidP="00732C0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732C06">
        <w:rPr>
          <w:rFonts w:ascii="Times New Roman" w:hAnsi="Times New Roman"/>
          <w:sz w:val="24"/>
        </w:rPr>
        <w:t xml:space="preserve">Uz pomoć viših nivoa vlasti ispitati mogućnosti za pronalaženje najpovoljnijih kreditnih ili drugih izvora finansiranja (grant sredstva) kod međunarodnih i domaćih financijskih institucija, te zatražiti saglasnosti za zaduženje od cca 60 miliona KM. U tom slučaju ponudili bi sporazum zainteresiranim da se odreknu kamate, </w:t>
      </w:r>
      <w:r w:rsidRPr="00732C06">
        <w:rPr>
          <w:rFonts w:ascii="Times New Roman" w:hAnsi="Times New Roman"/>
          <w:i/>
          <w:sz w:val="24"/>
        </w:rPr>
        <w:t>te da im se isplati dogovoreni umanjeni iznos glavnice, a najmanje 75%  – odmah cijeli iznos.</w:t>
      </w:r>
    </w:p>
    <w:p w:rsidR="00732C06" w:rsidRPr="00732C06" w:rsidRDefault="00732C06" w:rsidP="00732C0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32C06">
        <w:rPr>
          <w:rFonts w:ascii="Times New Roman" w:hAnsi="Times New Roman"/>
          <w:sz w:val="24"/>
        </w:rPr>
        <w:t xml:space="preserve">Odnosno, ukoliko se ne bi mogli zadužiti za iznos iz tačke 1. tad bi ponudili sporazum svim zainteresiranim da se odreknu kamate i od 10-20% glavnice, te da im se preostali iznos isplati u narednih 10 godina, svake godine po 10% duga. Potpisivanjem sporazuma </w:t>
      </w:r>
      <w:r w:rsidRPr="00732C06">
        <w:rPr>
          <w:rFonts w:ascii="Times New Roman" w:hAnsi="Times New Roman"/>
          <w:sz w:val="24"/>
          <w:u w:val="single"/>
        </w:rPr>
        <w:t>tražilac izvršenja bi se obavezao da od izvršnog suda zatraži odlaganje izvršenja na period od 10 godina, kao i da ukoliko se izmire obaveze iz ovog Sporazuma da se ima smatrati u cjelosti namirenim po pravosnažnoj sudskoj odluci.</w:t>
      </w:r>
    </w:p>
    <w:p w:rsidR="00391778" w:rsidRDefault="00732C06" w:rsidP="00F475E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32C06">
        <w:rPr>
          <w:rFonts w:ascii="Times New Roman" w:hAnsi="Times New Roman"/>
          <w:sz w:val="24"/>
        </w:rPr>
        <w:t>U narednim godinama provoditi procedure i tražiti saglasnost za zaduženja do ukupnog iznosa koji je potreban za namirenje obaveza.</w:t>
      </w:r>
      <w:bookmarkStart w:id="26" w:name="_Toc9858444"/>
    </w:p>
    <w:p w:rsidR="00391778" w:rsidRPr="00391778" w:rsidRDefault="00391778" w:rsidP="00391778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</w:rPr>
      </w:pPr>
    </w:p>
    <w:p w:rsidR="00933C72" w:rsidRDefault="00590F68" w:rsidP="00F475EB">
      <w:pPr>
        <w:pStyle w:val="Heading4"/>
        <w:rPr>
          <w:rFonts w:ascii="Times New Roman" w:hAnsi="Times New Roman" w:cs="Times New Roman"/>
        </w:rPr>
      </w:pPr>
      <w:r w:rsidRPr="00F475EB">
        <w:rPr>
          <w:rFonts w:ascii="Times New Roman" w:hAnsi="Times New Roman" w:cs="Times New Roman"/>
        </w:rPr>
        <w:t>6.1.1.Kratkoročne obaveze</w:t>
      </w:r>
      <w:bookmarkEnd w:id="26"/>
      <w:r w:rsidR="00935B61" w:rsidRPr="00F475EB">
        <w:rPr>
          <w:rFonts w:ascii="Times New Roman" w:hAnsi="Times New Roman" w:cs="Times New Roman"/>
        </w:rPr>
        <w:tab/>
      </w:r>
    </w:p>
    <w:p w:rsidR="00391778" w:rsidRPr="00391778" w:rsidRDefault="00391778" w:rsidP="00391778"/>
    <w:p w:rsidR="00933C72" w:rsidRDefault="00933C72" w:rsidP="00933C72">
      <w:pPr>
        <w:jc w:val="both"/>
        <w:rPr>
          <w:rFonts w:ascii="Times New Roman" w:hAnsi="Times New Roman"/>
          <w:sz w:val="24"/>
          <w:szCs w:val="24"/>
        </w:rPr>
      </w:pPr>
      <w:r w:rsidRPr="004131E5">
        <w:rPr>
          <w:rFonts w:ascii="Times New Roman" w:hAnsi="Times New Roman"/>
          <w:sz w:val="24"/>
          <w:szCs w:val="24"/>
        </w:rPr>
        <w:t xml:space="preserve">Kratkoročne obaveze </w:t>
      </w:r>
      <w:r w:rsidR="00FD526B">
        <w:rPr>
          <w:rFonts w:ascii="Times New Roman" w:hAnsi="Times New Roman"/>
          <w:sz w:val="24"/>
          <w:szCs w:val="24"/>
        </w:rPr>
        <w:t xml:space="preserve">Kantona na dan 31.12.2018. godine iznose 73,70 mil KM i </w:t>
      </w:r>
      <w:r w:rsidRPr="004131E5">
        <w:rPr>
          <w:rFonts w:ascii="Times New Roman" w:hAnsi="Times New Roman"/>
          <w:sz w:val="24"/>
          <w:szCs w:val="24"/>
        </w:rPr>
        <w:t xml:space="preserve">najvećim dijelom odnose </w:t>
      </w:r>
      <w:r w:rsidR="00FD526B">
        <w:rPr>
          <w:rFonts w:ascii="Times New Roman" w:hAnsi="Times New Roman"/>
          <w:sz w:val="24"/>
          <w:szCs w:val="24"/>
        </w:rPr>
        <w:t xml:space="preserve">se </w:t>
      </w:r>
      <w:r w:rsidRPr="004131E5">
        <w:rPr>
          <w:rFonts w:ascii="Times New Roman" w:hAnsi="Times New Roman"/>
          <w:sz w:val="24"/>
          <w:szCs w:val="24"/>
        </w:rPr>
        <w:t>na obaveze prema dobavljačima (pravnim i fizičkim licima) za isporučene robe i usluge  za period 2016.-2018. godina,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1E5">
        <w:rPr>
          <w:rFonts w:ascii="Times New Roman" w:hAnsi="Times New Roman"/>
          <w:sz w:val="24"/>
          <w:szCs w:val="24"/>
        </w:rPr>
        <w:t>obaveze prema dobavljačima i fizičkim licima iz vlastitih prihoda za period 2015.-2018. godina, obaveze prema udruženjima i neprofitnim organizacijama za period 2013.-2018. godine, centrima za socijalni rad za beneficije socijalne zaštite, obaveze prema nižim nivoima vlasti za tekuće i kapitalne grantove za period 2015.-2018. godina, prema Zavodu zdravstvenog osiguranja Unsko-sanskog kantona za osiguranje neosiguranih lica (boračke populacije, nezaposlenih lica i učenika za period 2013.-2018. godina), poljoprivrednim proizvođačima za subvencije u poljoprivredi u 2018. godini, obaveze za kredite i primljene pozajmice za period 2016.-2018. godina, obaveze za plaće (novembar i decembar 2018. godine) i naknade plaća uposlenika, zatim obaveza za poreze i doprinose, ostale obaveze za rad prema radnicima (nakande za topli obrok za novembar i decembar 2018. godine, prevoz uposlenih za period februar-decembar 2018. godine, pomoći u slučaju smrti ili teže bolesti za novembar i decembar 2017. godine i period januar-decembar 2018. godine, te regres za 2018. godinu).</w:t>
      </w:r>
    </w:p>
    <w:p w:rsidR="00391778" w:rsidRDefault="00391778" w:rsidP="00933C72">
      <w:pPr>
        <w:jc w:val="both"/>
        <w:rPr>
          <w:rFonts w:ascii="Times New Roman" w:hAnsi="Times New Roman"/>
          <w:sz w:val="24"/>
          <w:szCs w:val="24"/>
        </w:rPr>
      </w:pPr>
    </w:p>
    <w:p w:rsidR="00391778" w:rsidRDefault="00391778" w:rsidP="00933C72">
      <w:pPr>
        <w:jc w:val="both"/>
        <w:rPr>
          <w:rFonts w:ascii="Times New Roman" w:hAnsi="Times New Roman"/>
          <w:sz w:val="24"/>
          <w:szCs w:val="24"/>
        </w:rPr>
      </w:pPr>
    </w:p>
    <w:p w:rsidR="00391778" w:rsidRPr="004131E5" w:rsidRDefault="00391778" w:rsidP="00933C72">
      <w:pPr>
        <w:jc w:val="both"/>
        <w:rPr>
          <w:rFonts w:ascii="Times New Roman" w:hAnsi="Times New Roman"/>
          <w:sz w:val="24"/>
          <w:szCs w:val="24"/>
        </w:rPr>
      </w:pPr>
    </w:p>
    <w:p w:rsidR="00933C72" w:rsidRPr="00FD526B" w:rsidRDefault="00FD526B" w:rsidP="00933C72">
      <w:pPr>
        <w:rPr>
          <w:rFonts w:ascii="Times New Roman" w:hAnsi="Times New Roman"/>
          <w:sz w:val="24"/>
        </w:rPr>
      </w:pPr>
      <w:r w:rsidRPr="00FD526B">
        <w:rPr>
          <w:rFonts w:ascii="Times New Roman" w:hAnsi="Times New Roman"/>
          <w:sz w:val="24"/>
        </w:rPr>
        <w:lastRenderedPageBreak/>
        <w:t>Tabelarni pregled obaveza Kantona na dan 31.12.2018. godine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2268"/>
        <w:gridCol w:w="2410"/>
      </w:tblGrid>
      <w:tr w:rsidR="00741E1F" w:rsidRPr="004131E5" w:rsidTr="00FD526B">
        <w:trPr>
          <w:trHeight w:val="593"/>
        </w:trPr>
        <w:tc>
          <w:tcPr>
            <w:tcW w:w="3856" w:type="dxa"/>
          </w:tcPr>
          <w:p w:rsidR="00741E1F" w:rsidRPr="00741E1F" w:rsidRDefault="00741E1F" w:rsidP="00D50C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741E1F" w:rsidRPr="00741E1F" w:rsidRDefault="00741E1F" w:rsidP="00D50C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1E1F">
              <w:rPr>
                <w:rFonts w:ascii="Times New Roman" w:hAnsi="Times New Roman"/>
                <w:sz w:val="20"/>
                <w:szCs w:val="24"/>
              </w:rPr>
              <w:t>OPIS</w:t>
            </w:r>
          </w:p>
        </w:tc>
        <w:tc>
          <w:tcPr>
            <w:tcW w:w="2268" w:type="dxa"/>
          </w:tcPr>
          <w:p w:rsidR="00741E1F" w:rsidRDefault="00741E1F" w:rsidP="00D50C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1E1F">
              <w:rPr>
                <w:rFonts w:ascii="Times New Roman" w:hAnsi="Times New Roman"/>
                <w:sz w:val="20"/>
                <w:szCs w:val="24"/>
              </w:rPr>
              <w:t xml:space="preserve">                           </w:t>
            </w:r>
          </w:p>
          <w:p w:rsidR="00741E1F" w:rsidRPr="00741E1F" w:rsidRDefault="00741E1F" w:rsidP="00D50C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1E1F">
              <w:rPr>
                <w:rFonts w:ascii="Times New Roman" w:hAnsi="Times New Roman"/>
                <w:sz w:val="20"/>
                <w:szCs w:val="24"/>
              </w:rPr>
              <w:t>01.01.2018.</w:t>
            </w:r>
          </w:p>
        </w:tc>
        <w:tc>
          <w:tcPr>
            <w:tcW w:w="2410" w:type="dxa"/>
          </w:tcPr>
          <w:p w:rsidR="00741E1F" w:rsidRPr="00741E1F" w:rsidRDefault="00741E1F" w:rsidP="00D50C78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  <w:p w:rsidR="00741E1F" w:rsidRPr="00741E1F" w:rsidRDefault="00741E1F" w:rsidP="00D50C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1E1F">
              <w:rPr>
                <w:rFonts w:ascii="Times New Roman" w:hAnsi="Times New Roman"/>
                <w:sz w:val="20"/>
                <w:szCs w:val="24"/>
              </w:rPr>
              <w:t>31.12.2018.</w:t>
            </w:r>
          </w:p>
        </w:tc>
      </w:tr>
      <w:tr w:rsidR="00741E1F" w:rsidRPr="004131E5" w:rsidTr="00FD526B">
        <w:trPr>
          <w:trHeight w:val="309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Kratkoročne tekuće obav. (dobavljači)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12.425.367,48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11.068.243,60</w:t>
            </w:r>
          </w:p>
        </w:tc>
      </w:tr>
      <w:tr w:rsidR="00741E1F" w:rsidRPr="004131E5" w:rsidTr="00FD526B">
        <w:trPr>
          <w:trHeight w:val="316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 xml:space="preserve">Obaveze prema fiz.licima 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4.127.248,16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3.952.522,02</w:t>
            </w:r>
          </w:p>
        </w:tc>
      </w:tr>
      <w:tr w:rsidR="00741E1F" w:rsidRPr="004131E5" w:rsidTr="00FD526B">
        <w:trPr>
          <w:trHeight w:val="213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Obaveze za korištenje budžetske rezerve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800,00</w:t>
            </w:r>
          </w:p>
        </w:tc>
      </w:tr>
      <w:tr w:rsidR="00741E1F" w:rsidRPr="004131E5" w:rsidTr="00FD526B">
        <w:trPr>
          <w:trHeight w:val="213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Obaveze za tekuće transfere drugim nivoima vlasti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10.291.492,82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13.014.841,86</w:t>
            </w:r>
          </w:p>
        </w:tc>
      </w:tr>
      <w:tr w:rsidR="00741E1F" w:rsidRPr="004131E5" w:rsidTr="00FD526B">
        <w:trPr>
          <w:trHeight w:val="238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Obaveze za tekuće transfere pojedincima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772.593,30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865.302,29</w:t>
            </w:r>
          </w:p>
        </w:tc>
      </w:tr>
      <w:tr w:rsidR="00741E1F" w:rsidRPr="004131E5" w:rsidTr="00FD526B">
        <w:trPr>
          <w:trHeight w:val="213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Obaveze za tekuće transfere neprofitnim organizacijama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1.799.649,40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2.064.551,31</w:t>
            </w:r>
          </w:p>
        </w:tc>
      </w:tr>
      <w:tr w:rsidR="00741E1F" w:rsidRPr="004131E5" w:rsidTr="00FD526B">
        <w:trPr>
          <w:trHeight w:val="213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Obaveze za subvencije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2.780.600,57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2.994.574,87</w:t>
            </w:r>
          </w:p>
        </w:tc>
      </w:tr>
      <w:tr w:rsidR="00741E1F" w:rsidRPr="004131E5" w:rsidTr="00FD526B">
        <w:trPr>
          <w:trHeight w:val="213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Obaveze za kapitalne transfere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831.658,27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966.151,15</w:t>
            </w:r>
          </w:p>
        </w:tc>
      </w:tr>
      <w:tr w:rsidR="00741E1F" w:rsidRPr="004131E5" w:rsidTr="00FD526B">
        <w:trPr>
          <w:trHeight w:val="272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 xml:space="preserve">Ostale kratkoročne obaveze 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1.649.730,62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1.614.348,39</w:t>
            </w:r>
          </w:p>
        </w:tc>
      </w:tr>
      <w:tr w:rsidR="00741E1F" w:rsidRPr="004131E5" w:rsidTr="00FD526B">
        <w:trPr>
          <w:trHeight w:val="272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Kratkoročni krediti i zajmovi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8.410.370,03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9.224.635,95</w:t>
            </w:r>
          </w:p>
        </w:tc>
      </w:tr>
      <w:tr w:rsidR="00741E1F" w:rsidRPr="004131E5" w:rsidTr="00FD526B">
        <w:trPr>
          <w:trHeight w:val="285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 xml:space="preserve">Obaveze za plate 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12.329.622,05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10.936.719,54</w:t>
            </w:r>
          </w:p>
        </w:tc>
      </w:tr>
      <w:tr w:rsidR="00741E1F" w:rsidRPr="004131E5" w:rsidTr="00FD526B">
        <w:trPr>
          <w:trHeight w:val="272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Obaveze za naknade plaća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1.685.142,11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1.613.034,29</w:t>
            </w:r>
          </w:p>
        </w:tc>
      </w:tr>
      <w:tr w:rsidR="00741E1F" w:rsidRPr="004131E5" w:rsidTr="00FD526B">
        <w:trPr>
          <w:trHeight w:val="272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Doprinosi iz plaće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8.414.052,91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7.437.470,92</w:t>
            </w:r>
          </w:p>
        </w:tc>
      </w:tr>
      <w:tr w:rsidR="00741E1F" w:rsidRPr="004131E5" w:rsidTr="00FD526B">
        <w:trPr>
          <w:trHeight w:val="272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 xml:space="preserve">Ostale obaveze po osnovu rada 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7.671.926,47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7.947.254,07</w:t>
            </w:r>
          </w:p>
        </w:tc>
      </w:tr>
      <w:tr w:rsidR="00741E1F" w:rsidRPr="004131E5" w:rsidTr="00FD526B">
        <w:trPr>
          <w:trHeight w:val="272"/>
        </w:trPr>
        <w:tc>
          <w:tcPr>
            <w:tcW w:w="3856" w:type="dxa"/>
          </w:tcPr>
          <w:p w:rsidR="00741E1F" w:rsidRPr="00FD526B" w:rsidRDefault="00741E1F" w:rsidP="00D50C78">
            <w:pPr>
              <w:rPr>
                <w:rFonts w:ascii="Times New Roman" w:hAnsi="Times New Roman"/>
                <w:sz w:val="20"/>
                <w:szCs w:val="20"/>
              </w:rPr>
            </w:pPr>
            <w:r w:rsidRPr="00FD526B">
              <w:rPr>
                <w:rFonts w:ascii="Times New Roman" w:hAnsi="Times New Roman"/>
                <w:sz w:val="20"/>
                <w:szCs w:val="20"/>
              </w:rPr>
              <w:t>Obaveze prema drugima (f.lica)</w:t>
            </w:r>
          </w:p>
        </w:tc>
        <w:tc>
          <w:tcPr>
            <w:tcW w:w="2268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4.544,22</w:t>
            </w:r>
          </w:p>
        </w:tc>
        <w:tc>
          <w:tcPr>
            <w:tcW w:w="2410" w:type="dxa"/>
            <w:vAlign w:val="center"/>
          </w:tcPr>
          <w:p w:rsidR="00741E1F" w:rsidRPr="00FD526B" w:rsidRDefault="00741E1F" w:rsidP="00D50C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FD526B">
              <w:rPr>
                <w:rFonts w:ascii="Times New Roman" w:hAnsi="Times New Roman"/>
                <w:sz w:val="20"/>
                <w:szCs w:val="20"/>
                <w:lang w:eastAsia="hr-HR"/>
              </w:rPr>
              <w:t>2.938,71</w:t>
            </w:r>
          </w:p>
        </w:tc>
      </w:tr>
      <w:tr w:rsidR="00741E1F" w:rsidRPr="004131E5" w:rsidTr="00FD526B">
        <w:trPr>
          <w:trHeight w:val="272"/>
        </w:trPr>
        <w:tc>
          <w:tcPr>
            <w:tcW w:w="3856" w:type="dxa"/>
          </w:tcPr>
          <w:p w:rsidR="00741E1F" w:rsidRPr="00FD526B" w:rsidRDefault="00741E1F" w:rsidP="00D50C78">
            <w:pPr>
              <w:pStyle w:val="Heading6"/>
              <w:rPr>
                <w:rFonts w:ascii="Times New Roman" w:hAnsi="Times New Roman" w:cs="Times New Roman"/>
                <w:sz w:val="20"/>
                <w:szCs w:val="20"/>
              </w:rPr>
            </w:pPr>
            <w:r w:rsidRPr="00FD52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 K U P N O :</w:t>
            </w:r>
          </w:p>
        </w:tc>
        <w:tc>
          <w:tcPr>
            <w:tcW w:w="2268" w:type="dxa"/>
            <w:vAlign w:val="bottom"/>
          </w:tcPr>
          <w:p w:rsidR="00741E1F" w:rsidRPr="00FD526B" w:rsidRDefault="00741E1F" w:rsidP="00D50C7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bs-Latn-BA"/>
              </w:rPr>
            </w:pPr>
            <w:r w:rsidRPr="00FD526B">
              <w:rPr>
                <w:rFonts w:ascii="Times New Roman" w:hAnsi="Times New Roman"/>
                <w:color w:val="000000"/>
                <w:sz w:val="20"/>
                <w:szCs w:val="20"/>
              </w:rPr>
              <w:t>73.193.998,41</w:t>
            </w:r>
          </w:p>
        </w:tc>
        <w:tc>
          <w:tcPr>
            <w:tcW w:w="2410" w:type="dxa"/>
            <w:vAlign w:val="bottom"/>
          </w:tcPr>
          <w:p w:rsidR="00741E1F" w:rsidRPr="00FD526B" w:rsidRDefault="00741E1F" w:rsidP="00D50C7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bs-Latn-BA"/>
              </w:rPr>
            </w:pPr>
            <w:r w:rsidRPr="00FD526B">
              <w:rPr>
                <w:rFonts w:ascii="Times New Roman" w:hAnsi="Times New Roman"/>
                <w:color w:val="000000"/>
                <w:sz w:val="20"/>
                <w:szCs w:val="20"/>
              </w:rPr>
              <w:t>73.703.388,97</w:t>
            </w:r>
          </w:p>
        </w:tc>
      </w:tr>
    </w:tbl>
    <w:p w:rsidR="00391778" w:rsidRDefault="00391778" w:rsidP="00A5201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364D" w:rsidRDefault="00A5364D" w:rsidP="00A5201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364D" w:rsidRDefault="00A5364D" w:rsidP="00A5201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364D" w:rsidRDefault="00A5364D" w:rsidP="00A5201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364D" w:rsidRDefault="00A5364D" w:rsidP="00A5201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364D" w:rsidRDefault="00A5364D" w:rsidP="00A5201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364D" w:rsidRDefault="00A5364D" w:rsidP="00A5201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364D" w:rsidRDefault="00A5364D" w:rsidP="00A5201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364D" w:rsidRDefault="00A5364D" w:rsidP="00A5201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364D" w:rsidRDefault="00A5364D" w:rsidP="00F475EB">
      <w:pPr>
        <w:pStyle w:val="Heading4"/>
        <w:rPr>
          <w:color w:val="1F4E79" w:themeColor="accent1" w:themeShade="80"/>
        </w:rPr>
      </w:pPr>
      <w:bookmarkStart w:id="27" w:name="_Toc9858445"/>
    </w:p>
    <w:p w:rsidR="00A5364D" w:rsidRPr="00A5364D" w:rsidRDefault="00A5364D" w:rsidP="00A5364D"/>
    <w:p w:rsidR="00590F68" w:rsidRPr="00171A8B" w:rsidRDefault="00590F68" w:rsidP="00F475EB">
      <w:pPr>
        <w:pStyle w:val="Heading4"/>
        <w:rPr>
          <w:color w:val="1F4E79" w:themeColor="accent1" w:themeShade="80"/>
        </w:rPr>
      </w:pPr>
      <w:r w:rsidRPr="00171A8B">
        <w:rPr>
          <w:color w:val="1F4E79" w:themeColor="accent1" w:themeShade="80"/>
        </w:rPr>
        <w:lastRenderedPageBreak/>
        <w:t>6.1.2. Dugoročne obaveze</w:t>
      </w:r>
      <w:bookmarkEnd w:id="27"/>
    </w:p>
    <w:p w:rsidR="00590F68" w:rsidRPr="00946586" w:rsidRDefault="00590F68" w:rsidP="00590F68">
      <w:pPr>
        <w:jc w:val="both"/>
        <w:rPr>
          <w:rFonts w:ascii="Times New Roman" w:hAnsi="Times New Roman"/>
        </w:rPr>
      </w:pPr>
      <w:r w:rsidRPr="00946586">
        <w:rPr>
          <w:rFonts w:ascii="Times New Roman" w:hAnsi="Times New Roman"/>
          <w:sz w:val="24"/>
          <w:szCs w:val="24"/>
        </w:rPr>
        <w:t>Shodno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č</w:t>
      </w:r>
      <w:r w:rsidRPr="00946586">
        <w:rPr>
          <w:rFonts w:ascii="Times New Roman" w:hAnsi="Times New Roman"/>
          <w:sz w:val="24"/>
          <w:szCs w:val="24"/>
        </w:rPr>
        <w:t>lanu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7. Zakona o dugu, zaduživanju i garancijama u FBiH k</w:t>
      </w:r>
      <w:r w:rsidRPr="00946586">
        <w:rPr>
          <w:rFonts w:ascii="Times New Roman" w:hAnsi="Times New Roman"/>
          <w:sz w:val="24"/>
          <w:szCs w:val="24"/>
        </w:rPr>
        <w:t>antoni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se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mogu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dugoro</w:t>
      </w:r>
      <w:r w:rsidRPr="00946586">
        <w:rPr>
          <w:rFonts w:ascii="Times New Roman" w:hAnsi="Times New Roman"/>
          <w:sz w:val="24"/>
          <w:szCs w:val="24"/>
          <w:lang w:val="hr-HR"/>
        </w:rPr>
        <w:t>č</w:t>
      </w:r>
      <w:r w:rsidRPr="00946586">
        <w:rPr>
          <w:rFonts w:ascii="Times New Roman" w:hAnsi="Times New Roman"/>
          <w:sz w:val="24"/>
          <w:szCs w:val="24"/>
        </w:rPr>
        <w:t>no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zadu</w:t>
      </w:r>
      <w:r w:rsidRPr="00946586">
        <w:rPr>
          <w:rFonts w:ascii="Times New Roman" w:hAnsi="Times New Roman"/>
          <w:sz w:val="24"/>
          <w:szCs w:val="24"/>
          <w:lang w:val="hr-HR"/>
        </w:rPr>
        <w:t>ž</w:t>
      </w:r>
      <w:r w:rsidRPr="00946586">
        <w:rPr>
          <w:rFonts w:ascii="Times New Roman" w:hAnsi="Times New Roman"/>
          <w:sz w:val="24"/>
          <w:szCs w:val="24"/>
        </w:rPr>
        <w:t>iti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ukoliko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vrijeme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dugoro</w:t>
      </w:r>
      <w:r w:rsidRPr="00946586">
        <w:rPr>
          <w:rFonts w:ascii="Times New Roman" w:hAnsi="Times New Roman"/>
          <w:sz w:val="24"/>
          <w:szCs w:val="24"/>
          <w:lang w:val="hr-HR"/>
        </w:rPr>
        <w:t>č</w:t>
      </w:r>
      <w:r w:rsidRPr="00946586">
        <w:rPr>
          <w:rFonts w:ascii="Times New Roman" w:hAnsi="Times New Roman"/>
          <w:sz w:val="24"/>
          <w:szCs w:val="24"/>
        </w:rPr>
        <w:t>nog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zadu</w:t>
      </w:r>
      <w:r w:rsidRPr="00946586">
        <w:rPr>
          <w:rFonts w:ascii="Times New Roman" w:hAnsi="Times New Roman"/>
          <w:sz w:val="24"/>
          <w:szCs w:val="24"/>
          <w:lang w:val="hr-HR"/>
        </w:rPr>
        <w:t>ž</w:t>
      </w:r>
      <w:r w:rsidRPr="00946586">
        <w:rPr>
          <w:rFonts w:ascii="Times New Roman" w:hAnsi="Times New Roman"/>
          <w:sz w:val="24"/>
          <w:szCs w:val="24"/>
        </w:rPr>
        <w:t>enja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iznos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servisiranja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duga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za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ukupan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unutra</w:t>
      </w:r>
      <w:r w:rsidRPr="00946586">
        <w:rPr>
          <w:rFonts w:ascii="Times New Roman" w:hAnsi="Times New Roman"/>
          <w:sz w:val="24"/>
          <w:szCs w:val="24"/>
          <w:lang w:val="hr-HR"/>
        </w:rPr>
        <w:t>š</w:t>
      </w:r>
      <w:r w:rsidRPr="00946586">
        <w:rPr>
          <w:rFonts w:ascii="Times New Roman" w:hAnsi="Times New Roman"/>
          <w:sz w:val="24"/>
          <w:szCs w:val="24"/>
        </w:rPr>
        <w:t>nji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i </w:t>
      </w:r>
      <w:r w:rsidRPr="00946586">
        <w:rPr>
          <w:rFonts w:ascii="Times New Roman" w:hAnsi="Times New Roman"/>
          <w:sz w:val="24"/>
          <w:szCs w:val="24"/>
        </w:rPr>
        <w:t>vanjski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dug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garancije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koje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dospjevaju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svakoj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narednoj godini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946586">
        <w:rPr>
          <w:rFonts w:ascii="Times New Roman" w:hAnsi="Times New Roman"/>
          <w:sz w:val="24"/>
          <w:szCs w:val="24"/>
        </w:rPr>
        <w:t>uklju</w:t>
      </w:r>
      <w:r w:rsidRPr="00946586">
        <w:rPr>
          <w:rFonts w:ascii="Times New Roman" w:hAnsi="Times New Roman"/>
          <w:sz w:val="24"/>
          <w:szCs w:val="24"/>
          <w:lang w:val="hr-HR"/>
        </w:rPr>
        <w:t>č</w:t>
      </w:r>
      <w:r w:rsidRPr="00946586">
        <w:rPr>
          <w:rFonts w:ascii="Times New Roman" w:hAnsi="Times New Roman"/>
          <w:sz w:val="24"/>
          <w:szCs w:val="24"/>
        </w:rPr>
        <w:t>uju</w:t>
      </w:r>
      <w:r w:rsidRPr="00946586">
        <w:rPr>
          <w:rFonts w:ascii="Times New Roman" w:hAnsi="Times New Roman"/>
          <w:sz w:val="24"/>
          <w:szCs w:val="24"/>
          <w:lang w:val="hr-HR"/>
        </w:rPr>
        <w:t>ć</w:t>
      </w:r>
      <w:r w:rsidRPr="00946586">
        <w:rPr>
          <w:rFonts w:ascii="Times New Roman" w:hAnsi="Times New Roman"/>
          <w:sz w:val="24"/>
          <w:szCs w:val="24"/>
        </w:rPr>
        <w:t>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servisiranje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za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predlo</w:t>
      </w:r>
      <w:r w:rsidRPr="00946586">
        <w:rPr>
          <w:rFonts w:ascii="Times New Roman" w:hAnsi="Times New Roman"/>
          <w:sz w:val="24"/>
          <w:szCs w:val="24"/>
          <w:lang w:val="hr-HR"/>
        </w:rPr>
        <w:t>ž</w:t>
      </w:r>
      <w:r w:rsidRPr="00946586">
        <w:rPr>
          <w:rFonts w:ascii="Times New Roman" w:hAnsi="Times New Roman"/>
          <w:sz w:val="24"/>
          <w:szCs w:val="24"/>
        </w:rPr>
        <w:t>eno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novo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zadu</w:t>
      </w:r>
      <w:r w:rsidRPr="00946586">
        <w:rPr>
          <w:rFonts w:ascii="Times New Roman" w:hAnsi="Times New Roman"/>
          <w:sz w:val="24"/>
          <w:szCs w:val="24"/>
          <w:lang w:val="hr-HR"/>
        </w:rPr>
        <w:t>ž</w:t>
      </w:r>
      <w:r w:rsidRPr="00946586">
        <w:rPr>
          <w:rFonts w:ascii="Times New Roman" w:hAnsi="Times New Roman"/>
          <w:sz w:val="24"/>
          <w:szCs w:val="24"/>
        </w:rPr>
        <w:t>enje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sve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zajmove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za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koje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su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izdate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garancije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kantona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946586">
        <w:rPr>
          <w:rFonts w:ascii="Times New Roman" w:hAnsi="Times New Roman"/>
          <w:sz w:val="24"/>
          <w:szCs w:val="24"/>
        </w:rPr>
        <w:t>ne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prelaze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10 % </w:t>
      </w:r>
      <w:r w:rsidRPr="00946586">
        <w:rPr>
          <w:rFonts w:ascii="Times New Roman" w:hAnsi="Times New Roman"/>
          <w:sz w:val="24"/>
          <w:szCs w:val="24"/>
        </w:rPr>
        <w:t>prihoda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ostvarenih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predhodnoj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fiskalnoj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godini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i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okvirima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ograni</w:t>
      </w:r>
      <w:r w:rsidRPr="00946586">
        <w:rPr>
          <w:rFonts w:ascii="Times New Roman" w:hAnsi="Times New Roman"/>
          <w:sz w:val="24"/>
          <w:szCs w:val="24"/>
          <w:lang w:val="hr-HR"/>
        </w:rPr>
        <w:t>č</w:t>
      </w:r>
      <w:r w:rsidRPr="00946586">
        <w:rPr>
          <w:rFonts w:ascii="Times New Roman" w:hAnsi="Times New Roman"/>
          <w:sz w:val="24"/>
          <w:szCs w:val="24"/>
        </w:rPr>
        <w:t>enja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skladu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sa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procedurom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definiranom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Zakonu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o</w:t>
      </w:r>
      <w:r w:rsidRPr="0094658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46586">
        <w:rPr>
          <w:rFonts w:ascii="Times New Roman" w:hAnsi="Times New Roman"/>
          <w:sz w:val="24"/>
          <w:szCs w:val="24"/>
        </w:rPr>
        <w:t>dugu</w:t>
      </w:r>
      <w:r w:rsidRPr="00946586">
        <w:rPr>
          <w:rFonts w:ascii="Times New Roman" w:hAnsi="Times New Roman"/>
          <w:sz w:val="24"/>
          <w:szCs w:val="24"/>
          <w:lang w:val="hr-HR"/>
        </w:rPr>
        <w:t>.</w:t>
      </w:r>
      <w:r w:rsidRPr="00946586">
        <w:rPr>
          <w:rFonts w:ascii="Times New Roman" w:hAnsi="Times New Roman"/>
        </w:rPr>
        <w:t xml:space="preserve">                                   </w:t>
      </w:r>
    </w:p>
    <w:p w:rsidR="00A5364D" w:rsidRDefault="00A5364D" w:rsidP="004131E5">
      <w:pPr>
        <w:jc w:val="both"/>
        <w:rPr>
          <w:rFonts w:ascii="Times New Roman" w:hAnsi="Times New Roman"/>
          <w:b/>
          <w:sz w:val="24"/>
        </w:rPr>
      </w:pPr>
    </w:p>
    <w:p w:rsidR="002B00E6" w:rsidRDefault="00590F68" w:rsidP="004131E5">
      <w:pPr>
        <w:jc w:val="both"/>
        <w:rPr>
          <w:rFonts w:ascii="Times New Roman" w:hAnsi="Times New Roman"/>
          <w:sz w:val="28"/>
          <w:szCs w:val="24"/>
        </w:rPr>
      </w:pPr>
      <w:r w:rsidRPr="00B96E3A">
        <w:rPr>
          <w:rFonts w:ascii="Times New Roman" w:hAnsi="Times New Roman"/>
          <w:b/>
          <w:sz w:val="24"/>
        </w:rPr>
        <w:t>Dugoročne obaveze</w:t>
      </w:r>
      <w:r w:rsidRPr="00946586">
        <w:rPr>
          <w:rFonts w:ascii="Times New Roman" w:hAnsi="Times New Roman"/>
          <w:sz w:val="24"/>
        </w:rPr>
        <w:t xml:space="preserve"> iskazane u bilansu stanja na dan 31.12.201</w:t>
      </w:r>
      <w:r w:rsidR="004131E5">
        <w:rPr>
          <w:rFonts w:ascii="Times New Roman" w:hAnsi="Times New Roman"/>
          <w:sz w:val="24"/>
        </w:rPr>
        <w:t>8</w:t>
      </w:r>
      <w:r w:rsidRPr="00946586">
        <w:rPr>
          <w:rFonts w:ascii="Times New Roman" w:hAnsi="Times New Roman"/>
          <w:sz w:val="24"/>
        </w:rPr>
        <w:t xml:space="preserve">. godine u ukupnom iznosu od </w:t>
      </w:r>
      <w:r w:rsidR="00741E1F">
        <w:rPr>
          <w:rFonts w:ascii="Times New Roman" w:hAnsi="Times New Roman"/>
          <w:sz w:val="24"/>
          <w:szCs w:val="24"/>
        </w:rPr>
        <w:t xml:space="preserve">58.337.955 </w:t>
      </w:r>
      <w:r w:rsidRPr="00946586">
        <w:rPr>
          <w:rFonts w:ascii="Times New Roman" w:hAnsi="Times New Roman"/>
          <w:sz w:val="24"/>
        </w:rPr>
        <w:t xml:space="preserve">KM, a odnose se na obaveze po osnovu dugoročnih kredita </w:t>
      </w:r>
      <w:r w:rsidRPr="00946586">
        <w:rPr>
          <w:rFonts w:ascii="Times New Roman" w:hAnsi="Times New Roman"/>
          <w:sz w:val="24"/>
          <w:szCs w:val="24"/>
        </w:rPr>
        <w:t>(glavnica+kamata)</w:t>
      </w:r>
      <w:r w:rsidRPr="00946586">
        <w:rPr>
          <w:rFonts w:ascii="Times New Roman" w:hAnsi="Times New Roman"/>
        </w:rPr>
        <w:t xml:space="preserve"> </w:t>
      </w:r>
      <w:r w:rsidRPr="00946586">
        <w:rPr>
          <w:rFonts w:ascii="Times New Roman" w:hAnsi="Times New Roman"/>
          <w:sz w:val="24"/>
        </w:rPr>
        <w:t>i to</w:t>
      </w:r>
      <w:r w:rsidRPr="00946586">
        <w:rPr>
          <w:rFonts w:ascii="Times New Roman" w:hAnsi="Times New Roman"/>
          <w:sz w:val="28"/>
          <w:szCs w:val="24"/>
        </w:rPr>
        <w:t xml:space="preserve">: </w:t>
      </w:r>
      <w:r w:rsidR="00B0780B">
        <w:rPr>
          <w:rFonts w:ascii="Times New Roman" w:hAnsi="Times New Roman"/>
          <w:sz w:val="28"/>
          <w:szCs w:val="24"/>
        </w:rPr>
        <w:t xml:space="preserve">   </w:t>
      </w:r>
    </w:p>
    <w:tbl>
      <w:tblPr>
        <w:tblW w:w="7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2551"/>
        <w:gridCol w:w="2297"/>
      </w:tblGrid>
      <w:tr w:rsidR="00FD526B" w:rsidRPr="004131E5" w:rsidTr="00FD526B">
        <w:trPr>
          <w:trHeight w:val="425"/>
        </w:trPr>
        <w:tc>
          <w:tcPr>
            <w:tcW w:w="3090" w:type="dxa"/>
            <w:vAlign w:val="center"/>
          </w:tcPr>
          <w:p w:rsidR="00FD526B" w:rsidRPr="00FD526B" w:rsidRDefault="00FD526B" w:rsidP="00D50C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FD526B" w:rsidRPr="00FD526B" w:rsidRDefault="00FD526B" w:rsidP="00D50C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OPIS</w:t>
            </w:r>
          </w:p>
        </w:tc>
        <w:tc>
          <w:tcPr>
            <w:tcW w:w="2551" w:type="dxa"/>
            <w:vAlign w:val="center"/>
          </w:tcPr>
          <w:p w:rsidR="00FD526B" w:rsidRPr="00FD526B" w:rsidRDefault="00FD526B" w:rsidP="00D50C78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01.01.2018.</w:t>
            </w:r>
          </w:p>
        </w:tc>
        <w:tc>
          <w:tcPr>
            <w:tcW w:w="2297" w:type="dxa"/>
            <w:vAlign w:val="center"/>
          </w:tcPr>
          <w:p w:rsidR="00FD526B" w:rsidRPr="00FD526B" w:rsidRDefault="00FD526B" w:rsidP="00D50C78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31.12.2018.</w:t>
            </w:r>
          </w:p>
        </w:tc>
      </w:tr>
      <w:tr w:rsidR="00FD526B" w:rsidRPr="004131E5" w:rsidTr="00FD526B">
        <w:trPr>
          <w:trHeight w:val="283"/>
        </w:trPr>
        <w:tc>
          <w:tcPr>
            <w:tcW w:w="3090" w:type="dxa"/>
          </w:tcPr>
          <w:p w:rsidR="00FD526B" w:rsidRPr="00FD526B" w:rsidRDefault="00FD526B" w:rsidP="00D50C78">
            <w:pPr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Vanjski dug Federaciji</w:t>
            </w:r>
          </w:p>
        </w:tc>
        <w:tc>
          <w:tcPr>
            <w:tcW w:w="2551" w:type="dxa"/>
            <w:vAlign w:val="bottom"/>
          </w:tcPr>
          <w:p w:rsidR="00FD526B" w:rsidRPr="00FD526B" w:rsidRDefault="00FD526B" w:rsidP="00D50C78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12.119.391,72</w:t>
            </w:r>
          </w:p>
        </w:tc>
        <w:tc>
          <w:tcPr>
            <w:tcW w:w="2297" w:type="dxa"/>
            <w:vAlign w:val="bottom"/>
          </w:tcPr>
          <w:p w:rsidR="00FD526B" w:rsidRPr="00FD526B" w:rsidRDefault="00FD526B" w:rsidP="00D50C78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11.002.392,61</w:t>
            </w:r>
          </w:p>
        </w:tc>
      </w:tr>
      <w:tr w:rsidR="00FD526B" w:rsidRPr="004131E5" w:rsidTr="00FD526B">
        <w:trPr>
          <w:trHeight w:val="184"/>
        </w:trPr>
        <w:tc>
          <w:tcPr>
            <w:tcW w:w="3090" w:type="dxa"/>
          </w:tcPr>
          <w:p w:rsidR="00FD526B" w:rsidRPr="00FD526B" w:rsidRDefault="00FD526B" w:rsidP="00D50C78">
            <w:pPr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Obaveze od domaćeg zaduživanja</w:t>
            </w:r>
          </w:p>
        </w:tc>
        <w:tc>
          <w:tcPr>
            <w:tcW w:w="2551" w:type="dxa"/>
            <w:vAlign w:val="bottom"/>
          </w:tcPr>
          <w:p w:rsidR="00FD526B" w:rsidRPr="00FD526B" w:rsidRDefault="00FD526B" w:rsidP="00D50C78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52.970.216,66</w:t>
            </w:r>
          </w:p>
        </w:tc>
        <w:tc>
          <w:tcPr>
            <w:tcW w:w="2297" w:type="dxa"/>
            <w:vAlign w:val="bottom"/>
          </w:tcPr>
          <w:p w:rsidR="00FD526B" w:rsidRPr="00FD526B" w:rsidRDefault="00FD526B" w:rsidP="00D50C78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47.335.562,23</w:t>
            </w:r>
          </w:p>
        </w:tc>
      </w:tr>
      <w:tr w:rsidR="00FD526B" w:rsidRPr="004131E5" w:rsidTr="00FD526B">
        <w:trPr>
          <w:trHeight w:val="269"/>
        </w:trPr>
        <w:tc>
          <w:tcPr>
            <w:tcW w:w="3090" w:type="dxa"/>
          </w:tcPr>
          <w:p w:rsidR="00FD526B" w:rsidRPr="00FD526B" w:rsidRDefault="00FD526B" w:rsidP="00D50C78">
            <w:pPr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D526B">
              <w:rPr>
                <w:rFonts w:ascii="Times New Roman" w:hAnsi="Times New Roman"/>
                <w:b/>
                <w:bCs/>
                <w:sz w:val="20"/>
                <w:szCs w:val="24"/>
              </w:rPr>
              <w:t>U K U P N O</w:t>
            </w:r>
          </w:p>
        </w:tc>
        <w:tc>
          <w:tcPr>
            <w:tcW w:w="2551" w:type="dxa"/>
            <w:vAlign w:val="bottom"/>
          </w:tcPr>
          <w:p w:rsidR="00FD526B" w:rsidRPr="00FD526B" w:rsidRDefault="00FD526B" w:rsidP="00D50C78">
            <w:pPr>
              <w:ind w:left="-41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65.089.608,38</w:t>
            </w:r>
          </w:p>
        </w:tc>
        <w:tc>
          <w:tcPr>
            <w:tcW w:w="2297" w:type="dxa"/>
            <w:vAlign w:val="bottom"/>
          </w:tcPr>
          <w:p w:rsidR="00FD526B" w:rsidRPr="00FD526B" w:rsidRDefault="00FD526B" w:rsidP="00D50C78">
            <w:pPr>
              <w:ind w:left="-41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FD526B">
              <w:rPr>
                <w:rFonts w:ascii="Times New Roman" w:hAnsi="Times New Roman"/>
                <w:sz w:val="20"/>
                <w:szCs w:val="24"/>
              </w:rPr>
              <w:t>58.337.954,84</w:t>
            </w:r>
          </w:p>
        </w:tc>
      </w:tr>
    </w:tbl>
    <w:p w:rsidR="004131E5" w:rsidRPr="004131E5" w:rsidRDefault="004131E5" w:rsidP="004131E5">
      <w:pPr>
        <w:jc w:val="both"/>
        <w:rPr>
          <w:rFonts w:ascii="Times New Roman" w:hAnsi="Times New Roman"/>
          <w:sz w:val="24"/>
          <w:szCs w:val="24"/>
        </w:rPr>
      </w:pPr>
    </w:p>
    <w:p w:rsidR="00741E1F" w:rsidRDefault="004131E5" w:rsidP="002B00E6">
      <w:pPr>
        <w:jc w:val="both"/>
        <w:rPr>
          <w:rFonts w:ascii="Times New Roman" w:hAnsi="Times New Roman"/>
          <w:sz w:val="24"/>
          <w:szCs w:val="24"/>
        </w:rPr>
      </w:pPr>
      <w:r w:rsidRPr="004131E5">
        <w:rPr>
          <w:rFonts w:ascii="Times New Roman" w:hAnsi="Times New Roman"/>
          <w:sz w:val="24"/>
          <w:szCs w:val="24"/>
        </w:rPr>
        <w:tab/>
        <w:t xml:space="preserve">Dugoročne obaveze iskazane u bilansu stanja odnose se na obaveze po osnovu dugoročnih kredita i to: </w:t>
      </w:r>
    </w:p>
    <w:p w:rsidR="004131E5" w:rsidRPr="00741E1F" w:rsidRDefault="004131E5" w:rsidP="00741E1F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741E1F">
        <w:rPr>
          <w:rFonts w:ascii="Times New Roman" w:hAnsi="Times New Roman"/>
          <w:sz w:val="24"/>
          <w:szCs w:val="24"/>
        </w:rPr>
        <w:t>Kredit za modernizaciju bolnica na Unsko-sanskom kantonu</w:t>
      </w:r>
      <w:r w:rsidR="000B46E0">
        <w:rPr>
          <w:rFonts w:ascii="Times New Roman" w:hAnsi="Times New Roman"/>
          <w:sz w:val="24"/>
          <w:szCs w:val="24"/>
        </w:rPr>
        <w:t xml:space="preserve"> od</w:t>
      </w:r>
      <w:r w:rsidRPr="00741E1F">
        <w:rPr>
          <w:rFonts w:ascii="Times New Roman" w:hAnsi="Times New Roman"/>
          <w:sz w:val="24"/>
          <w:szCs w:val="24"/>
        </w:rPr>
        <w:t xml:space="preserve"> Republike Koreje</w:t>
      </w:r>
      <w:r w:rsidR="00741E1F">
        <w:rPr>
          <w:rFonts w:ascii="Times New Roman" w:hAnsi="Times New Roman"/>
          <w:sz w:val="24"/>
          <w:szCs w:val="24"/>
        </w:rPr>
        <w:t>,</w:t>
      </w:r>
      <w:r w:rsidRPr="00741E1F">
        <w:rPr>
          <w:rFonts w:ascii="Times New Roman" w:hAnsi="Times New Roman"/>
          <w:sz w:val="24"/>
          <w:szCs w:val="24"/>
        </w:rPr>
        <w:t xml:space="preserve"> </w:t>
      </w:r>
    </w:p>
    <w:p w:rsidR="00451176" w:rsidRDefault="004131E5" w:rsidP="00BF2CE0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E1F">
        <w:rPr>
          <w:rFonts w:ascii="Times New Roman" w:hAnsi="Times New Roman"/>
          <w:sz w:val="24"/>
          <w:szCs w:val="24"/>
        </w:rPr>
        <w:t xml:space="preserve">Kredit za rekonstrukciju škola (OŠ “Cazin II”, OŠ “Čava” i OŠ “Radoč”) </w:t>
      </w:r>
      <w:r w:rsidR="00741E1F">
        <w:rPr>
          <w:rFonts w:ascii="Times New Roman" w:hAnsi="Times New Roman"/>
          <w:sz w:val="24"/>
          <w:szCs w:val="24"/>
        </w:rPr>
        <w:t>,</w:t>
      </w:r>
    </w:p>
    <w:p w:rsidR="004131E5" w:rsidRPr="00741E1F" w:rsidRDefault="004131E5" w:rsidP="00BF2CE0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E1F">
        <w:rPr>
          <w:rFonts w:ascii="Times New Roman" w:hAnsi="Times New Roman"/>
          <w:sz w:val="24"/>
          <w:szCs w:val="24"/>
        </w:rPr>
        <w:t>Kredit za modernizaciju JU Univerziteta u Bihaću</w:t>
      </w:r>
      <w:r w:rsidR="00451176">
        <w:rPr>
          <w:rFonts w:ascii="Times New Roman" w:hAnsi="Times New Roman"/>
          <w:sz w:val="24"/>
          <w:szCs w:val="24"/>
        </w:rPr>
        <w:t>,</w:t>
      </w:r>
    </w:p>
    <w:p w:rsidR="00451176" w:rsidRDefault="004131E5" w:rsidP="00BF2CE0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176">
        <w:rPr>
          <w:rFonts w:ascii="Times New Roman" w:hAnsi="Times New Roman"/>
          <w:sz w:val="24"/>
          <w:szCs w:val="24"/>
        </w:rPr>
        <w:t>Kredit  Vodovod Bužim</w:t>
      </w:r>
      <w:r w:rsidR="00451176" w:rsidRPr="00451176">
        <w:rPr>
          <w:rFonts w:ascii="Times New Roman" w:hAnsi="Times New Roman"/>
          <w:sz w:val="24"/>
          <w:szCs w:val="24"/>
        </w:rPr>
        <w:t>,</w:t>
      </w:r>
      <w:r w:rsidRPr="00451176">
        <w:rPr>
          <w:rFonts w:ascii="Times New Roman" w:hAnsi="Times New Roman"/>
          <w:sz w:val="24"/>
          <w:szCs w:val="24"/>
        </w:rPr>
        <w:t xml:space="preserve"> </w:t>
      </w:r>
    </w:p>
    <w:p w:rsidR="004131E5" w:rsidRPr="00451176" w:rsidRDefault="004131E5" w:rsidP="00BF2CE0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176">
        <w:rPr>
          <w:rFonts w:ascii="Times New Roman" w:hAnsi="Times New Roman"/>
          <w:sz w:val="24"/>
          <w:szCs w:val="24"/>
        </w:rPr>
        <w:t>Kredit za  rekonstrukciju škola (izgradnju zgrade JU Gimnazije u Bihaću i JU Gimnazije u Cazinu)</w:t>
      </w:r>
      <w:r w:rsidR="00451176">
        <w:rPr>
          <w:rFonts w:ascii="Times New Roman" w:hAnsi="Times New Roman"/>
          <w:sz w:val="24"/>
          <w:szCs w:val="24"/>
        </w:rPr>
        <w:t>,</w:t>
      </w:r>
      <w:r w:rsidRPr="00451176">
        <w:rPr>
          <w:rFonts w:ascii="Times New Roman" w:hAnsi="Times New Roman"/>
          <w:sz w:val="24"/>
          <w:szCs w:val="24"/>
        </w:rPr>
        <w:t xml:space="preserve"> </w:t>
      </w:r>
    </w:p>
    <w:p w:rsidR="004131E5" w:rsidRPr="004131E5" w:rsidRDefault="004131E5" w:rsidP="004131E5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31E5">
        <w:rPr>
          <w:rFonts w:ascii="Times New Roman" w:hAnsi="Times New Roman"/>
          <w:sz w:val="24"/>
          <w:szCs w:val="24"/>
        </w:rPr>
        <w:t>Kredit MMF po IV stand by aranžmanu iz 2014. godine,</w:t>
      </w:r>
    </w:p>
    <w:p w:rsidR="004131E5" w:rsidRPr="004131E5" w:rsidRDefault="004131E5" w:rsidP="004131E5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31E5">
        <w:rPr>
          <w:rFonts w:ascii="Times New Roman" w:hAnsi="Times New Roman"/>
          <w:sz w:val="24"/>
          <w:szCs w:val="24"/>
        </w:rPr>
        <w:t>Kredit za modernizaciju bolnica na Unsko-sanskom kantonu Republike Austrije,</w:t>
      </w:r>
    </w:p>
    <w:p w:rsidR="004131E5" w:rsidRPr="004131E5" w:rsidRDefault="004131E5" w:rsidP="004131E5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31E5">
        <w:rPr>
          <w:rFonts w:ascii="Times New Roman" w:hAnsi="Times New Roman"/>
          <w:sz w:val="24"/>
          <w:szCs w:val="24"/>
        </w:rPr>
        <w:t>Pozajmice sa namjen</w:t>
      </w:r>
      <w:r w:rsidR="00B03F88">
        <w:rPr>
          <w:rFonts w:ascii="Times New Roman" w:hAnsi="Times New Roman"/>
          <w:sz w:val="24"/>
          <w:szCs w:val="24"/>
        </w:rPr>
        <w:t>s</w:t>
      </w:r>
      <w:r w:rsidRPr="004131E5">
        <w:rPr>
          <w:rFonts w:ascii="Times New Roman" w:hAnsi="Times New Roman"/>
          <w:sz w:val="24"/>
          <w:szCs w:val="24"/>
        </w:rPr>
        <w:t>kih podračuna u okviru JRT iznose 15.140.000,00 KM (prenešeno sa kratkoročnih na dugoročne obaveze u 2015. godini),</w:t>
      </w:r>
    </w:p>
    <w:p w:rsidR="004131E5" w:rsidRPr="00732C06" w:rsidRDefault="004131E5" w:rsidP="00957927">
      <w:pPr>
        <w:pStyle w:val="ListParagraph"/>
        <w:numPr>
          <w:ilvl w:val="0"/>
          <w:numId w:val="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2C06">
        <w:rPr>
          <w:rFonts w:ascii="Times New Roman" w:hAnsi="Times New Roman"/>
          <w:sz w:val="24"/>
          <w:szCs w:val="24"/>
        </w:rPr>
        <w:t>Kredit za pokriće deficita</w:t>
      </w:r>
      <w:r w:rsidR="001E7DF5">
        <w:rPr>
          <w:rFonts w:ascii="Times New Roman" w:hAnsi="Times New Roman"/>
          <w:sz w:val="24"/>
          <w:szCs w:val="24"/>
        </w:rPr>
        <w:t>.</w:t>
      </w:r>
      <w:r w:rsidR="00D76571" w:rsidRPr="00732C06">
        <w:rPr>
          <w:rFonts w:ascii="Times New Roman" w:hAnsi="Times New Roman"/>
          <w:sz w:val="24"/>
          <w:szCs w:val="24"/>
        </w:rPr>
        <w:t xml:space="preserve">               </w:t>
      </w:r>
      <w:r w:rsidR="008163FC" w:rsidRPr="00732C06">
        <w:rPr>
          <w:rFonts w:ascii="Times New Roman" w:hAnsi="Times New Roman"/>
          <w:sz w:val="24"/>
          <w:szCs w:val="24"/>
        </w:rPr>
        <w:t xml:space="preserve">   </w:t>
      </w:r>
    </w:p>
    <w:p w:rsidR="00FD526B" w:rsidRDefault="00FD526B" w:rsidP="009A1A6E">
      <w:pPr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FD526B" w:rsidRDefault="00FD526B" w:rsidP="009A1A6E">
      <w:pPr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FD526B" w:rsidRDefault="00FD526B" w:rsidP="009A1A6E">
      <w:pPr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FD526B" w:rsidRDefault="00FD526B" w:rsidP="009A1A6E">
      <w:pPr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FD526B" w:rsidRDefault="00FD526B" w:rsidP="009A1A6E">
      <w:pPr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FD526B" w:rsidRDefault="00FD526B" w:rsidP="009A1A6E">
      <w:pPr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391778" w:rsidRDefault="00391778" w:rsidP="009A1A6E">
      <w:pPr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FD526B" w:rsidRDefault="00FD526B" w:rsidP="009A1A6E">
      <w:pPr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FD526B" w:rsidRDefault="00FD526B" w:rsidP="009A1A6E">
      <w:pPr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9A1A6E" w:rsidRDefault="009A1A6E" w:rsidP="009A1A6E">
      <w:pPr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  <w:r w:rsidRPr="00946586">
        <w:rPr>
          <w:rFonts w:ascii="Times New Roman" w:hAnsi="Times New Roman"/>
          <w:sz w:val="24"/>
          <w:szCs w:val="24"/>
        </w:rPr>
        <w:t>U Tabeli koja slijedi prikazano je stanje dugoročnog duga kanton na dan 31.03.201</w:t>
      </w:r>
      <w:r w:rsidR="00544C2D">
        <w:rPr>
          <w:rFonts w:ascii="Times New Roman" w:hAnsi="Times New Roman"/>
          <w:sz w:val="24"/>
          <w:szCs w:val="24"/>
        </w:rPr>
        <w:t>9</w:t>
      </w:r>
      <w:r w:rsidRPr="00946586">
        <w:rPr>
          <w:rFonts w:ascii="Times New Roman" w:hAnsi="Times New Roman"/>
          <w:sz w:val="24"/>
          <w:szCs w:val="24"/>
        </w:rPr>
        <w:t>. godina te servisiranje istog u tekućoj i naredne dvije godine.</w:t>
      </w:r>
    </w:p>
    <w:tbl>
      <w:tblPr>
        <w:tblW w:w="9166" w:type="dxa"/>
        <w:tblLook w:val="04A0" w:firstRow="1" w:lastRow="0" w:firstColumn="1" w:lastColumn="0" w:noHBand="0" w:noVBand="1"/>
      </w:tblPr>
      <w:tblGrid>
        <w:gridCol w:w="1534"/>
        <w:gridCol w:w="785"/>
        <w:gridCol w:w="732"/>
        <w:gridCol w:w="632"/>
        <w:gridCol w:w="576"/>
        <w:gridCol w:w="613"/>
        <w:gridCol w:w="632"/>
        <w:gridCol w:w="613"/>
        <w:gridCol w:w="632"/>
        <w:gridCol w:w="650"/>
        <w:gridCol w:w="650"/>
        <w:gridCol w:w="1282"/>
      </w:tblGrid>
      <w:tr w:rsidR="00544C2D" w:rsidRPr="00544C2D" w:rsidTr="00451176">
        <w:trPr>
          <w:trHeight w:val="457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Zaduženje kantona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Stanje duga</w:t>
            </w:r>
          </w:p>
        </w:tc>
        <w:tc>
          <w:tcPr>
            <w:tcW w:w="4965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Servisiranje duga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hr-HR" w:eastAsia="hr-HR"/>
              </w:rPr>
            </w:pPr>
            <w:r w:rsidRPr="00544C2D">
              <w:rPr>
                <w:rFonts w:eastAsia="Times New Roman" w:cs="Calibr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544C2D" w:rsidRPr="00544C2D" w:rsidTr="00451176">
        <w:trPr>
          <w:trHeight w:val="457"/>
        </w:trPr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965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544C2D" w:rsidRPr="00544C2D" w:rsidTr="00451176">
        <w:trPr>
          <w:trHeight w:val="44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glavnica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kamata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2019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2020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2021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mil  KM</w:t>
            </w:r>
          </w:p>
        </w:tc>
      </w:tr>
      <w:tr w:rsidR="00544C2D" w:rsidRPr="00544C2D" w:rsidTr="00451176">
        <w:trPr>
          <w:trHeight w:val="411"/>
        </w:trPr>
        <w:tc>
          <w:tcPr>
            <w:tcW w:w="1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Izvor finansiranja</w:t>
            </w: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31.3.2019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glav.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kam.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glav.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kam.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glav.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kam.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glav.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kam.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Namjena </w:t>
            </w:r>
          </w:p>
        </w:tc>
      </w:tr>
      <w:tr w:rsidR="00544C2D" w:rsidRPr="00544C2D" w:rsidTr="00451176">
        <w:trPr>
          <w:trHeight w:val="426"/>
        </w:trPr>
        <w:tc>
          <w:tcPr>
            <w:tcW w:w="15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SAUDIJSKI FOND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0,438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0,175</w:t>
            </w:r>
          </w:p>
        </w:tc>
        <w:tc>
          <w:tcPr>
            <w:tcW w:w="54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0,014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0,175</w:t>
            </w:r>
          </w:p>
        </w:tc>
        <w:tc>
          <w:tcPr>
            <w:tcW w:w="63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0,009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0,175</w:t>
            </w:r>
          </w:p>
        </w:tc>
        <w:tc>
          <w:tcPr>
            <w:tcW w:w="63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0,004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  <w:t>Vodovod Bužim</w:t>
            </w:r>
          </w:p>
        </w:tc>
      </w:tr>
      <w:tr w:rsidR="00544C2D" w:rsidRPr="00544C2D" w:rsidTr="00451176">
        <w:trPr>
          <w:trHeight w:val="320"/>
        </w:trPr>
        <w:tc>
          <w:tcPr>
            <w:tcW w:w="153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INVEST BANKA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0,179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0,072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  <w:t>Školski objekti</w:t>
            </w:r>
          </w:p>
        </w:tc>
      </w:tr>
      <w:tr w:rsidR="00544C2D" w:rsidRPr="00544C2D" w:rsidTr="00DE4D63">
        <w:trPr>
          <w:trHeight w:val="320"/>
        </w:trPr>
        <w:tc>
          <w:tcPr>
            <w:tcW w:w="153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0,160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0,004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0,16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0,004</w:t>
            </w:r>
          </w:p>
        </w:tc>
        <w:tc>
          <w:tcPr>
            <w:tcW w:w="6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</w:p>
        </w:tc>
      </w:tr>
      <w:tr w:rsidR="00544C2D" w:rsidRPr="00544C2D" w:rsidTr="00DE4D63">
        <w:trPr>
          <w:trHeight w:val="335"/>
        </w:trPr>
        <w:tc>
          <w:tcPr>
            <w:tcW w:w="153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MMF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6,731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0,962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1,923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1,923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1,923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  <w:t>Deficit budžeta</w:t>
            </w:r>
            <w:r w:rsidR="00DE4D63"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  <w:t xml:space="preserve"> Reprogram obaveza</w:t>
            </w:r>
          </w:p>
        </w:tc>
      </w:tr>
      <w:tr w:rsidR="00544C2D" w:rsidRPr="00544C2D" w:rsidTr="00DE4D63">
        <w:trPr>
          <w:trHeight w:val="320"/>
        </w:trPr>
        <w:tc>
          <w:tcPr>
            <w:tcW w:w="153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1,046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1,046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  <w:t>Deficit budžeta</w:t>
            </w:r>
          </w:p>
        </w:tc>
      </w:tr>
      <w:tr w:rsidR="00544C2D" w:rsidRPr="00544C2D" w:rsidTr="00451176">
        <w:trPr>
          <w:trHeight w:val="457"/>
        </w:trPr>
        <w:tc>
          <w:tcPr>
            <w:tcW w:w="153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KOREJA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4,139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0,404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0,331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0,06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0,331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0,057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0,331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0,051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0,331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0,046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  <w:t>Bolnica</w:t>
            </w:r>
          </w:p>
        </w:tc>
      </w:tr>
      <w:tr w:rsidR="00544C2D" w:rsidRPr="00544C2D" w:rsidTr="00DE4D63">
        <w:trPr>
          <w:trHeight w:val="450"/>
        </w:trPr>
        <w:tc>
          <w:tcPr>
            <w:tcW w:w="153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50" w:type="dxa"/>
            <w:vMerge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</w:p>
        </w:tc>
      </w:tr>
      <w:tr w:rsidR="00544C2D" w:rsidRPr="00544C2D" w:rsidTr="00451176">
        <w:trPr>
          <w:trHeight w:val="457"/>
        </w:trPr>
        <w:tc>
          <w:tcPr>
            <w:tcW w:w="153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AUSTRIJA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12,696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0,873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20"/>
                <w:lang w:val="hr-HR" w:eastAsia="hr-HR"/>
              </w:rPr>
              <w:t> 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0,139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1,27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0,136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1,27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0,122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1,27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0,108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  <w:t>Bolnica</w:t>
            </w:r>
          </w:p>
        </w:tc>
      </w:tr>
      <w:tr w:rsidR="00544C2D" w:rsidRPr="00544C2D" w:rsidTr="006352B9">
        <w:trPr>
          <w:trHeight w:val="450"/>
        </w:trPr>
        <w:tc>
          <w:tcPr>
            <w:tcW w:w="153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hr-HR" w:eastAsia="hr-H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</w:p>
        </w:tc>
      </w:tr>
      <w:tr w:rsidR="00544C2D" w:rsidRPr="00544C2D" w:rsidTr="00451176">
        <w:trPr>
          <w:trHeight w:val="442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AUSTRIJA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8,312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0,401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0,791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0,080</w:t>
            </w:r>
          </w:p>
        </w:tc>
        <w:tc>
          <w:tcPr>
            <w:tcW w:w="6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0,791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0,072</w:t>
            </w:r>
          </w:p>
        </w:tc>
        <w:tc>
          <w:tcPr>
            <w:tcW w:w="6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0,791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0,063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0,791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0,054</w:t>
            </w:r>
          </w:p>
        </w:tc>
        <w:tc>
          <w:tcPr>
            <w:tcW w:w="12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  <w:t>Univerzitet</w:t>
            </w:r>
          </w:p>
        </w:tc>
      </w:tr>
      <w:tr w:rsidR="00544C2D" w:rsidRPr="00544C2D" w:rsidTr="00DE4D63">
        <w:trPr>
          <w:trHeight w:val="487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hr-HR" w:eastAsia="hr-HR"/>
              </w:rPr>
              <w:t>Unicreditbank dd</w:t>
            </w:r>
          </w:p>
        </w:tc>
        <w:tc>
          <w:tcPr>
            <w:tcW w:w="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13,063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2,476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2,063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0,729</w:t>
            </w:r>
          </w:p>
        </w:tc>
        <w:tc>
          <w:tcPr>
            <w:tcW w:w="6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2,063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0,607</w:t>
            </w:r>
          </w:p>
        </w:tc>
        <w:tc>
          <w:tcPr>
            <w:tcW w:w="6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2,063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0,49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2,063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6"/>
                <w:szCs w:val="16"/>
                <w:lang w:val="hr-HR" w:eastAsia="hr-HR"/>
              </w:rPr>
              <w:t>0,371</w:t>
            </w:r>
          </w:p>
        </w:tc>
        <w:tc>
          <w:tcPr>
            <w:tcW w:w="12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  <w:t>Deficit budžeta</w:t>
            </w:r>
          </w:p>
        </w:tc>
      </w:tr>
      <w:tr w:rsidR="00544C2D" w:rsidRPr="00544C2D" w:rsidTr="00451176">
        <w:trPr>
          <w:trHeight w:val="457"/>
        </w:trPr>
        <w:tc>
          <w:tcPr>
            <w:tcW w:w="153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  <w:t>46,764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  <w:t>4,189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  <w:t>5,600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  <w:t>1,035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  <w:t>6,625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  <w:t>0,885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  <w:t>6,625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  <w:t>0,732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  <w:t>6,378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r-HR" w:eastAsia="hr-HR"/>
              </w:rPr>
              <w:t>0,579</w:t>
            </w:r>
          </w:p>
        </w:tc>
        <w:tc>
          <w:tcPr>
            <w:tcW w:w="1282" w:type="dxa"/>
            <w:vMerge w:val="restar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sz w:val="14"/>
                <w:szCs w:val="16"/>
                <w:lang w:val="hr-HR" w:eastAsia="hr-HR"/>
              </w:rPr>
              <w:t> </w:t>
            </w:r>
          </w:p>
        </w:tc>
      </w:tr>
      <w:tr w:rsidR="00544C2D" w:rsidRPr="00544C2D" w:rsidTr="00451176">
        <w:trPr>
          <w:trHeight w:val="457"/>
        </w:trPr>
        <w:tc>
          <w:tcPr>
            <w:tcW w:w="153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82" w:type="dxa"/>
            <w:vMerge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544C2D" w:rsidRPr="00544C2D" w:rsidTr="00451176">
        <w:trPr>
          <w:trHeight w:val="198"/>
        </w:trPr>
        <w:tc>
          <w:tcPr>
            <w:tcW w:w="7884" w:type="dxa"/>
            <w:gridSpan w:val="11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544C2D" w:rsidRPr="00544C2D" w:rsidTr="00451176">
        <w:trPr>
          <w:trHeight w:val="472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Sveukupno</w:t>
            </w:r>
          </w:p>
        </w:tc>
        <w:tc>
          <w:tcPr>
            <w:tcW w:w="13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50,953</w:t>
            </w:r>
          </w:p>
        </w:tc>
        <w:tc>
          <w:tcPr>
            <w:tcW w:w="1173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6,635</w:t>
            </w:r>
          </w:p>
        </w:tc>
        <w:tc>
          <w:tcPr>
            <w:tcW w:w="1245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7,510</w:t>
            </w:r>
          </w:p>
        </w:tc>
        <w:tc>
          <w:tcPr>
            <w:tcW w:w="1245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7,357</w:t>
            </w:r>
          </w:p>
        </w:tc>
        <w:tc>
          <w:tcPr>
            <w:tcW w:w="1300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6,957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544C2D" w:rsidRPr="00544C2D" w:rsidTr="00451176">
        <w:trPr>
          <w:trHeight w:val="457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Pozajmice sa podracuna</w:t>
            </w:r>
          </w:p>
        </w:tc>
        <w:tc>
          <w:tcPr>
            <w:tcW w:w="13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15,140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0,6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0,6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0,8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0,8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FA5063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FA50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deficit budžeta-povrat pozajmica</w:t>
            </w:r>
          </w:p>
        </w:tc>
      </w:tr>
      <w:tr w:rsidR="00544C2D" w:rsidRPr="00544C2D" w:rsidTr="00451176">
        <w:trPr>
          <w:trHeight w:val="503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ukupno stari dug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66,093</w:t>
            </w:r>
          </w:p>
        </w:tc>
        <w:tc>
          <w:tcPr>
            <w:tcW w:w="4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4C2D" w:rsidRPr="00544C2D" w:rsidRDefault="00544C2D" w:rsidP="00544C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</w:pPr>
            <w:r w:rsidRPr="00544C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</w:tbl>
    <w:p w:rsidR="00544C2D" w:rsidRPr="00DE4D63" w:rsidRDefault="00544C2D" w:rsidP="00544C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val="hr-HR" w:eastAsia="hr-HR"/>
        </w:rPr>
      </w:pPr>
      <w:r w:rsidRPr="00DE4D63">
        <w:rPr>
          <w:rFonts w:ascii="Times New Roman" w:eastAsia="Times New Roman" w:hAnsi="Times New Roman"/>
          <w:color w:val="000000"/>
          <w:szCs w:val="24"/>
          <w:lang w:val="hr-HR" w:eastAsia="hr-HR"/>
        </w:rPr>
        <w:t>Kurs na dan 31.03.201</w:t>
      </w:r>
      <w:r w:rsidR="00DE4D63" w:rsidRPr="00DE4D63">
        <w:rPr>
          <w:rFonts w:ascii="Times New Roman" w:eastAsia="Times New Roman" w:hAnsi="Times New Roman"/>
          <w:color w:val="000000"/>
          <w:szCs w:val="24"/>
          <w:lang w:val="hr-HR" w:eastAsia="hr-HR"/>
        </w:rPr>
        <w:t>9</w:t>
      </w:r>
      <w:r w:rsidRPr="00DE4D63">
        <w:rPr>
          <w:rFonts w:ascii="Times New Roman" w:eastAsia="Times New Roman" w:hAnsi="Times New Roman"/>
          <w:color w:val="000000"/>
          <w:szCs w:val="24"/>
          <w:lang w:val="hr-HR" w:eastAsia="hr-HR"/>
        </w:rPr>
        <w:t>. 1 US$= 1.740837 KM</w:t>
      </w:r>
    </w:p>
    <w:p w:rsidR="00DE4D63" w:rsidRDefault="00DE4D63" w:rsidP="00FA5063">
      <w:pPr>
        <w:tabs>
          <w:tab w:val="left" w:pos="243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746F9" w:rsidRPr="00DC06D7" w:rsidRDefault="004746F9" w:rsidP="00FA5063">
      <w:pPr>
        <w:tabs>
          <w:tab w:val="left" w:pos="2430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</w:rPr>
        <w:t>Unsko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 – </w:t>
      </w:r>
      <w:r w:rsidRPr="00DC06D7">
        <w:rPr>
          <w:rFonts w:ascii="Times New Roman" w:hAnsi="Times New Roman"/>
          <w:sz w:val="24"/>
          <w:szCs w:val="24"/>
        </w:rPr>
        <w:t>sanski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sz w:val="24"/>
          <w:szCs w:val="24"/>
        </w:rPr>
        <w:t>kanton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sz w:val="24"/>
          <w:szCs w:val="24"/>
        </w:rPr>
        <w:t>na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sz w:val="24"/>
          <w:szCs w:val="24"/>
        </w:rPr>
        <w:t>dan 31.0</w:t>
      </w:r>
      <w:r w:rsidR="00A95249">
        <w:rPr>
          <w:rFonts w:ascii="Times New Roman" w:hAnsi="Times New Roman"/>
          <w:sz w:val="24"/>
          <w:szCs w:val="24"/>
        </w:rPr>
        <w:t>3</w:t>
      </w:r>
      <w:r w:rsidRPr="00DC06D7">
        <w:rPr>
          <w:rFonts w:ascii="Times New Roman" w:hAnsi="Times New Roman"/>
          <w:sz w:val="24"/>
          <w:szCs w:val="24"/>
        </w:rPr>
        <w:t>.201</w:t>
      </w:r>
      <w:r w:rsidR="00CE1203">
        <w:rPr>
          <w:rFonts w:ascii="Times New Roman" w:hAnsi="Times New Roman"/>
          <w:sz w:val="24"/>
          <w:szCs w:val="24"/>
        </w:rPr>
        <w:t>9</w:t>
      </w:r>
      <w:r w:rsidRPr="00DC06D7">
        <w:rPr>
          <w:rFonts w:ascii="Times New Roman" w:hAnsi="Times New Roman"/>
          <w:sz w:val="24"/>
          <w:szCs w:val="24"/>
        </w:rPr>
        <w:t>. godine ima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sz w:val="24"/>
          <w:szCs w:val="24"/>
        </w:rPr>
        <w:t>ukupno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sz w:val="24"/>
          <w:szCs w:val="24"/>
        </w:rPr>
        <w:t>kreditno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sz w:val="24"/>
          <w:szCs w:val="24"/>
        </w:rPr>
        <w:t>zadu</w:t>
      </w:r>
      <w:r w:rsidRPr="00DC06D7">
        <w:rPr>
          <w:rFonts w:ascii="Times New Roman" w:hAnsi="Times New Roman"/>
          <w:sz w:val="24"/>
          <w:szCs w:val="24"/>
          <w:lang w:val="hr-HR"/>
        </w:rPr>
        <w:t>ž</w:t>
      </w:r>
      <w:r w:rsidRPr="00DC06D7">
        <w:rPr>
          <w:rFonts w:ascii="Times New Roman" w:hAnsi="Times New Roman"/>
          <w:sz w:val="24"/>
          <w:szCs w:val="24"/>
        </w:rPr>
        <w:t xml:space="preserve">enje u iznosu </w:t>
      </w:r>
      <w:r w:rsidR="00544C2D">
        <w:rPr>
          <w:rFonts w:ascii="Times New Roman" w:hAnsi="Times New Roman"/>
          <w:sz w:val="24"/>
          <w:szCs w:val="24"/>
        </w:rPr>
        <w:t>50,953</w:t>
      </w:r>
      <w:r w:rsidRPr="00DC06D7">
        <w:rPr>
          <w:rFonts w:ascii="Times New Roman" w:hAnsi="Times New Roman"/>
          <w:sz w:val="24"/>
          <w:szCs w:val="24"/>
        </w:rPr>
        <w:t xml:space="preserve"> mil.KM, i to:</w:t>
      </w:r>
    </w:p>
    <w:p w:rsidR="00B16FAB" w:rsidRDefault="004746F9" w:rsidP="00FA5063">
      <w:pPr>
        <w:tabs>
          <w:tab w:val="left" w:pos="2430"/>
        </w:tabs>
        <w:spacing w:after="0"/>
        <w:ind w:left="144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hr-HR" w:eastAsia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 xml:space="preserve">- glavnica u iznosu -  </w:t>
      </w:r>
      <w:r w:rsidR="00B16FAB" w:rsidRPr="00B16FAB">
        <w:rPr>
          <w:rFonts w:ascii="Times New Roman" w:eastAsia="Times New Roman" w:hAnsi="Times New Roman"/>
          <w:bCs/>
          <w:color w:val="000000"/>
          <w:sz w:val="24"/>
          <w:szCs w:val="24"/>
          <w:lang w:val="hr-HR" w:eastAsia="hr-HR"/>
        </w:rPr>
        <w:t>4</w:t>
      </w:r>
      <w:r w:rsidR="00544C2D">
        <w:rPr>
          <w:rFonts w:ascii="Times New Roman" w:eastAsia="Times New Roman" w:hAnsi="Times New Roman"/>
          <w:bCs/>
          <w:color w:val="000000"/>
          <w:sz w:val="24"/>
          <w:szCs w:val="24"/>
          <w:lang w:val="hr-HR" w:eastAsia="hr-HR"/>
        </w:rPr>
        <w:t>6</w:t>
      </w:r>
      <w:r w:rsidR="00B16FAB" w:rsidRPr="00B16FAB">
        <w:rPr>
          <w:rFonts w:ascii="Times New Roman" w:eastAsia="Times New Roman" w:hAnsi="Times New Roman"/>
          <w:bCs/>
          <w:color w:val="000000"/>
          <w:sz w:val="24"/>
          <w:szCs w:val="24"/>
          <w:lang w:val="hr-HR" w:eastAsia="hr-HR"/>
        </w:rPr>
        <w:t>,</w:t>
      </w:r>
      <w:r w:rsidR="00544C2D">
        <w:rPr>
          <w:rFonts w:ascii="Times New Roman" w:eastAsia="Times New Roman" w:hAnsi="Times New Roman"/>
          <w:bCs/>
          <w:color w:val="000000"/>
          <w:sz w:val="24"/>
          <w:szCs w:val="24"/>
          <w:lang w:val="hr-HR" w:eastAsia="hr-HR"/>
        </w:rPr>
        <w:t>764</w:t>
      </w:r>
      <w:r w:rsidR="00A52016">
        <w:rPr>
          <w:rFonts w:ascii="Times New Roman" w:eastAsia="Times New Roman" w:hAnsi="Times New Roman"/>
          <w:bCs/>
          <w:color w:val="000000"/>
          <w:sz w:val="24"/>
          <w:szCs w:val="24"/>
          <w:lang w:val="hr-HR" w:eastAsia="hr-HR"/>
        </w:rPr>
        <w:t xml:space="preserve"> mil. KM</w:t>
      </w:r>
    </w:p>
    <w:p w:rsidR="00D27F7F" w:rsidRPr="00DC06D7" w:rsidRDefault="004746F9" w:rsidP="00FA5063">
      <w:pPr>
        <w:tabs>
          <w:tab w:val="left" w:pos="2430"/>
        </w:tabs>
        <w:spacing w:after="0"/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 xml:space="preserve">- kamata u iznosu   -   </w:t>
      </w:r>
      <w:r w:rsidR="00544C2D">
        <w:rPr>
          <w:rFonts w:ascii="Times New Roman" w:eastAsia="Times New Roman" w:hAnsi="Times New Roman"/>
          <w:bCs/>
          <w:color w:val="000000"/>
          <w:sz w:val="24"/>
          <w:szCs w:val="24"/>
          <w:lang w:val="hr-HR" w:eastAsia="hr-HR"/>
        </w:rPr>
        <w:t xml:space="preserve"> 4,189</w:t>
      </w:r>
      <w:r w:rsidR="00B0780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C06D7">
        <w:rPr>
          <w:rFonts w:ascii="Times New Roman" w:hAnsi="Times New Roman"/>
          <w:sz w:val="24"/>
          <w:szCs w:val="24"/>
          <w:lang w:val="hr-HR"/>
        </w:rPr>
        <w:t>mil</w:t>
      </w:r>
      <w:r w:rsidR="00A52016">
        <w:rPr>
          <w:rFonts w:ascii="Times New Roman" w:hAnsi="Times New Roman"/>
          <w:sz w:val="24"/>
          <w:szCs w:val="24"/>
          <w:lang w:val="hr-HR"/>
        </w:rPr>
        <w:t>.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 KM.</w:t>
      </w:r>
    </w:p>
    <w:p w:rsidR="00D27F7F" w:rsidRDefault="004746F9" w:rsidP="00D27F7F">
      <w:pPr>
        <w:tabs>
          <w:tab w:val="left" w:pos="24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  <w:lang w:val="hr-HR"/>
        </w:rPr>
        <w:t>Ako ovom iznosu dodamo pozajmice sa namjenskih podračuna od 15,14 mil</w:t>
      </w:r>
      <w:r w:rsidR="00A52016">
        <w:rPr>
          <w:rFonts w:ascii="Times New Roman" w:hAnsi="Times New Roman"/>
          <w:sz w:val="24"/>
          <w:szCs w:val="24"/>
          <w:lang w:val="hr-HR"/>
        </w:rPr>
        <w:t>.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 KM ukupne dugoro</w:t>
      </w:r>
      <w:r w:rsidR="00A52016">
        <w:rPr>
          <w:rFonts w:ascii="Times New Roman" w:hAnsi="Times New Roman"/>
          <w:sz w:val="24"/>
          <w:szCs w:val="24"/>
          <w:lang w:val="hr-HR"/>
        </w:rPr>
        <w:t>č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ne obaveze kantona iznose </w:t>
      </w:r>
      <w:r w:rsidR="00B16FAB" w:rsidRPr="00B16FAB">
        <w:rPr>
          <w:rFonts w:ascii="Times New Roman" w:eastAsia="Times New Roman" w:hAnsi="Times New Roman"/>
          <w:bCs/>
          <w:color w:val="000000"/>
          <w:sz w:val="24"/>
          <w:szCs w:val="24"/>
          <w:lang w:val="hr-HR" w:eastAsia="hr-HR"/>
        </w:rPr>
        <w:t>6</w:t>
      </w:r>
      <w:r w:rsidR="00544C2D">
        <w:rPr>
          <w:rFonts w:ascii="Times New Roman" w:eastAsia="Times New Roman" w:hAnsi="Times New Roman"/>
          <w:bCs/>
          <w:color w:val="000000"/>
          <w:sz w:val="24"/>
          <w:szCs w:val="24"/>
          <w:lang w:val="hr-HR" w:eastAsia="hr-HR"/>
        </w:rPr>
        <w:t>6</w:t>
      </w:r>
      <w:r w:rsidR="00B16FAB" w:rsidRPr="00B16FAB">
        <w:rPr>
          <w:rFonts w:ascii="Times New Roman" w:eastAsia="Times New Roman" w:hAnsi="Times New Roman"/>
          <w:bCs/>
          <w:color w:val="000000"/>
          <w:sz w:val="24"/>
          <w:szCs w:val="24"/>
          <w:lang w:val="hr-HR" w:eastAsia="hr-HR"/>
        </w:rPr>
        <w:t>,</w:t>
      </w:r>
      <w:r w:rsidR="00544C2D">
        <w:rPr>
          <w:rFonts w:ascii="Times New Roman" w:eastAsia="Times New Roman" w:hAnsi="Times New Roman"/>
          <w:bCs/>
          <w:color w:val="000000"/>
          <w:sz w:val="24"/>
          <w:szCs w:val="24"/>
          <w:lang w:val="hr-HR" w:eastAsia="hr-HR"/>
        </w:rPr>
        <w:t>093</w:t>
      </w:r>
      <w:r w:rsidRPr="00DC06D7">
        <w:rPr>
          <w:rFonts w:ascii="Times New Roman" w:hAnsi="Times New Roman"/>
          <w:sz w:val="24"/>
          <w:szCs w:val="24"/>
          <w:lang w:val="hr-HR"/>
        </w:rPr>
        <w:t xml:space="preserve"> mil</w:t>
      </w:r>
      <w:r w:rsidR="00544C2D">
        <w:rPr>
          <w:rFonts w:ascii="Times New Roman" w:hAnsi="Times New Roman"/>
          <w:sz w:val="24"/>
          <w:szCs w:val="24"/>
          <w:lang w:val="hr-HR"/>
        </w:rPr>
        <w:t>.</w:t>
      </w:r>
      <w:r w:rsidRPr="00DC06D7">
        <w:rPr>
          <w:rFonts w:ascii="Times New Roman" w:hAnsi="Times New Roman"/>
          <w:sz w:val="24"/>
          <w:szCs w:val="24"/>
          <w:lang w:val="hr-HR"/>
        </w:rPr>
        <w:t>KM</w:t>
      </w:r>
      <w:r w:rsidR="00D27F7F">
        <w:rPr>
          <w:rFonts w:ascii="Times New Roman" w:hAnsi="Times New Roman"/>
          <w:sz w:val="24"/>
          <w:szCs w:val="24"/>
          <w:lang w:val="hr-HR"/>
        </w:rPr>
        <w:t>.</w:t>
      </w:r>
    </w:p>
    <w:p w:rsidR="004231C8" w:rsidRDefault="004746F9" w:rsidP="00D27F7F">
      <w:pPr>
        <w:tabs>
          <w:tab w:val="left" w:pos="243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sz w:val="24"/>
          <w:szCs w:val="24"/>
        </w:rPr>
        <w:lastRenderedPageBreak/>
        <w:t xml:space="preserve">Na osnovu otplatnih planova napravljen je plan servisiranja dugoročnih obaveza kantona koji na osnovu Zakona o izvršavanju budžeta Unsko-sanskog kantona ima prioritet pri planiranji i izvršavanju budžeta. </w:t>
      </w:r>
    </w:p>
    <w:p w:rsidR="004746F9" w:rsidRPr="00171A8B" w:rsidRDefault="004231C8" w:rsidP="00D27F7F">
      <w:pPr>
        <w:tabs>
          <w:tab w:val="left" w:pos="2430"/>
        </w:tabs>
        <w:spacing w:after="0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171A8B">
        <w:rPr>
          <w:rFonts w:ascii="Times New Roman" w:hAnsi="Times New Roman"/>
          <w:i/>
          <w:sz w:val="24"/>
          <w:szCs w:val="24"/>
          <w:lang w:val="fr-FR"/>
        </w:rPr>
        <w:t xml:space="preserve">Ukoliko Kanton donese Odluku da </w:t>
      </w:r>
      <w:r w:rsidR="00FA5063" w:rsidRPr="00171A8B">
        <w:rPr>
          <w:rFonts w:ascii="Times New Roman" w:hAnsi="Times New Roman"/>
          <w:i/>
          <w:sz w:val="24"/>
          <w:szCs w:val="24"/>
          <w:lang w:val="fr-FR"/>
        </w:rPr>
        <w:t xml:space="preserve">za izvršavanje pravosudnih izvršnih presuda </w:t>
      </w:r>
      <w:r w:rsidRPr="00171A8B">
        <w:rPr>
          <w:rFonts w:ascii="Times New Roman" w:hAnsi="Times New Roman"/>
          <w:i/>
          <w:sz w:val="24"/>
          <w:szCs w:val="24"/>
          <w:lang w:val="fr-FR"/>
        </w:rPr>
        <w:t xml:space="preserve">se dodatno zaduži </w:t>
      </w:r>
      <w:r w:rsidR="00FA5063" w:rsidRPr="00171A8B">
        <w:rPr>
          <w:rFonts w:ascii="Times New Roman" w:hAnsi="Times New Roman"/>
          <w:i/>
          <w:sz w:val="24"/>
          <w:szCs w:val="24"/>
          <w:lang w:val="fr-FR"/>
        </w:rPr>
        <w:t xml:space="preserve">i dobije saglasnost Federalnog ministarstva finansija </w:t>
      </w:r>
      <w:r w:rsidRPr="00171A8B">
        <w:rPr>
          <w:rFonts w:ascii="Times New Roman" w:hAnsi="Times New Roman"/>
          <w:i/>
          <w:sz w:val="24"/>
          <w:szCs w:val="24"/>
          <w:lang w:val="fr-FR"/>
        </w:rPr>
        <w:t xml:space="preserve">navedeni </w:t>
      </w:r>
      <w:r w:rsidR="00FA5063" w:rsidRPr="00171A8B">
        <w:rPr>
          <w:rFonts w:ascii="Times New Roman" w:hAnsi="Times New Roman"/>
          <w:i/>
          <w:sz w:val="24"/>
          <w:szCs w:val="24"/>
          <w:lang w:val="fr-FR"/>
        </w:rPr>
        <w:t xml:space="preserve">plan servisiranja obaveza Kantona </w:t>
      </w:r>
      <w:r w:rsidRPr="00171A8B">
        <w:rPr>
          <w:rFonts w:ascii="Times New Roman" w:hAnsi="Times New Roman"/>
          <w:i/>
          <w:sz w:val="24"/>
          <w:szCs w:val="24"/>
          <w:lang w:val="fr-FR"/>
        </w:rPr>
        <w:t>će se revidirati</w:t>
      </w:r>
      <w:r w:rsidR="00FA5063" w:rsidRPr="00171A8B">
        <w:rPr>
          <w:rFonts w:ascii="Times New Roman" w:hAnsi="Times New Roman"/>
          <w:i/>
          <w:sz w:val="24"/>
          <w:szCs w:val="24"/>
          <w:lang w:val="fr-FR"/>
        </w:rPr>
        <w:t>.</w:t>
      </w:r>
      <w:r w:rsidR="004746F9" w:rsidRPr="00171A8B">
        <w:rPr>
          <w:rFonts w:ascii="Times New Roman" w:hAnsi="Times New Roman"/>
          <w:i/>
          <w:sz w:val="24"/>
          <w:szCs w:val="24"/>
          <w:lang w:val="fr-FR"/>
        </w:rPr>
        <w:t xml:space="preserve">          </w:t>
      </w:r>
    </w:p>
    <w:p w:rsidR="0006729F" w:rsidRPr="0006729F" w:rsidRDefault="0006729F" w:rsidP="0006729F">
      <w:pPr>
        <w:spacing w:after="200" w:line="276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bs-Latn-BA"/>
        </w:rPr>
      </w:pP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>Za upravljanje dugom Federacije, u skladu sa Zakonom o dugu, zaduživanju i garancijama u Federaciji Bosne i Hercegovine</w:t>
      </w:r>
      <w:r w:rsidRPr="0006729F">
        <w:rPr>
          <w:rFonts w:ascii="Times New Roman" w:eastAsiaTheme="minorEastAsia" w:hAnsi="Times New Roman"/>
          <w:noProof/>
          <w:sz w:val="24"/>
          <w:szCs w:val="24"/>
          <w:vertAlign w:val="superscript"/>
          <w:lang w:eastAsia="bs-Latn-BA"/>
        </w:rPr>
        <w:t xml:space="preserve"> </w:t>
      </w: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>nadležno je Federalno ministarstvo finansija, a za upravljanje dugom kantona, gradova i općina ministarstva finansija kantona, odnosno gradske i općinske službe za finansije.</w:t>
      </w:r>
    </w:p>
    <w:p w:rsidR="0006729F" w:rsidRPr="0006729F" w:rsidRDefault="0006729F" w:rsidP="0006729F">
      <w:pPr>
        <w:spacing w:after="200" w:line="276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bs-Latn-BA"/>
        </w:rPr>
      </w:pP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>Na osnovu izvršene procjene važećeg pravnog okvira za upravljanje dugom izrađen je novi Zakon o dugu, zaduživanju i garancijama u Federaciji BiH (Dom naroda Parlamenta Federacije BiH prihvatio je Nacrt Zakona), kojim se, između ostalog, unapređuju procesi upravljanja rizicima, revidiraju limiti zaduženosti (zavise od  sposobnosti kantona, gradova i općina da servisiraju svoje obaveze i vezuju se za prosječne redovne prihode ostvarene u propisanom periodu) i izloženosti kako na nivou Federacije, tako i na nivou kantona, gradova i općina (izloženost Federacije prema kantonu, gradu i općini, prema jednom sektoru, pravnom licu ili grupi povezanih pravnih lica; granice izloženosti kantona, grada i općine prema jednom pravnom licu)  i utvrđuju nove gornje granice javnog duga i garancija, te jača kontrola nad zaduživanjem.</w:t>
      </w:r>
    </w:p>
    <w:p w:rsidR="0006729F" w:rsidRPr="0006729F" w:rsidRDefault="0006729F" w:rsidP="0006729F">
      <w:pPr>
        <w:spacing w:after="200" w:line="276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bs-Latn-BA"/>
        </w:rPr>
      </w:pP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>U svrhu održivosti javnog duga,</w:t>
      </w:r>
      <w:r w:rsidRPr="0006729F">
        <w:rPr>
          <w:rFonts w:ascii="Times New Roman" w:eastAsiaTheme="minorEastAsia" w:hAnsi="Times New Roman"/>
          <w:noProof/>
          <w:color w:val="0070C0"/>
          <w:sz w:val="24"/>
          <w:szCs w:val="24"/>
          <w:lang w:eastAsia="bs-Latn-BA"/>
        </w:rPr>
        <w:t xml:space="preserve"> </w:t>
      </w: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 xml:space="preserve">nakon adekvatnih izmjena, odnosno donošenja novog Zakona o dugu, zaduživanju i garancijama u Federaciji BiH, donijeti će se i odgovarajući podzakonski akti. Time će se doprinijeti provedbi planirane ekonomske politike i reforme, kako u pogledu uspostavljanja novih fiskalnih pravila za dug, zaduživanje i garancije, tako i u pogledu obuhvata mjerenja javnog duga koji je usklađen sa statističkom metodologijom Evropske unije. </w:t>
      </w:r>
    </w:p>
    <w:p w:rsidR="0006729F" w:rsidRPr="0006729F" w:rsidRDefault="0006729F" w:rsidP="0006729F">
      <w:pPr>
        <w:spacing w:line="276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bs-Latn-BA"/>
        </w:rPr>
      </w:pPr>
      <w:r w:rsidRPr="0006729F">
        <w:rPr>
          <w:rFonts w:ascii="Times New Roman" w:hAnsi="Times New Roman"/>
          <w:noProof/>
          <w:sz w:val="24"/>
          <w:szCs w:val="24"/>
        </w:rPr>
        <w:t>Nakon donošenja novog Zakona o dugu,</w:t>
      </w:r>
      <w:r w:rsidR="00933C72">
        <w:rPr>
          <w:rFonts w:ascii="Times New Roman" w:hAnsi="Times New Roman"/>
          <w:noProof/>
          <w:sz w:val="24"/>
          <w:szCs w:val="24"/>
        </w:rPr>
        <w:t xml:space="preserve"> </w:t>
      </w:r>
      <w:r w:rsidRPr="0006729F">
        <w:rPr>
          <w:rFonts w:ascii="Times New Roman" w:hAnsi="Times New Roman"/>
          <w:noProof/>
          <w:sz w:val="24"/>
          <w:szCs w:val="24"/>
        </w:rPr>
        <w:t>izrada Strategije upravljanja dugom, postat će zakonska obaveza, a Vlada</w:t>
      </w: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 xml:space="preserve"> </w:t>
      </w:r>
      <w:r w:rsidR="00933C72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>Kantona</w:t>
      </w: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 xml:space="preserve"> će biti obavezna da usvaja i Godišnji plan zaduživanja, koji se, između ostalog, temelji na Programu javnih investicija </w:t>
      </w:r>
      <w:r w:rsidR="00933C72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>Ka</w:t>
      </w:r>
      <w:r w:rsidR="00171A8B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>n</w:t>
      </w:r>
      <w:r w:rsidR="00933C72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>tona</w:t>
      </w:r>
      <w:r w:rsidRPr="0006729F">
        <w:rPr>
          <w:rFonts w:ascii="Times New Roman" w:eastAsiaTheme="minorEastAsia" w:hAnsi="Times New Roman"/>
          <w:noProof/>
          <w:sz w:val="24"/>
          <w:szCs w:val="24"/>
          <w:vertAlign w:val="superscript"/>
          <w:lang w:eastAsia="bs-Latn-BA"/>
        </w:rPr>
        <w:footnoteReference w:id="6"/>
      </w: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>, te da izvještava o dugu</w:t>
      </w:r>
      <w:r w:rsidRPr="0006729F">
        <w:rPr>
          <w:rFonts w:ascii="Times New Roman" w:eastAsiaTheme="minorEastAsia" w:hAnsi="Times New Roman"/>
          <w:noProof/>
          <w:sz w:val="24"/>
          <w:szCs w:val="24"/>
          <w:vertAlign w:val="superscript"/>
          <w:lang w:eastAsia="bs-Latn-BA"/>
        </w:rPr>
        <w:footnoteReference w:id="7"/>
      </w: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 xml:space="preserve">. </w:t>
      </w:r>
    </w:p>
    <w:p w:rsidR="0006729F" w:rsidRPr="0006729F" w:rsidRDefault="0006729F" w:rsidP="0006729F">
      <w:pPr>
        <w:spacing w:after="200" w:line="276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bs-Latn-BA"/>
        </w:rPr>
      </w:pP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 xml:space="preserve">Imajući u vidu izmjenu zakonskog okvira u pogledu donošenja novih fiskalnih pravila zaduživanja za sve nivoe vlasti u FBiH, kojim se stvaraju preduslovi za povećanje transparentnosti zaduživanja i izvještavanja o dugu u FBiH, te omogućava upravljanje dugom na adekvatan način, nužno je, uspostavljanjem informacionog sistema za upravljanje dugom (evidentiranje i praćenje duga i garancija, izvještavanje o dugu i sl.), unaprijediti kapacitete i stvoriti tehničke pretpostavke za poboljšanje cjelokupnog procesa. </w:t>
      </w:r>
    </w:p>
    <w:p w:rsidR="0006729F" w:rsidRPr="0006729F" w:rsidRDefault="0006729F" w:rsidP="0006729F">
      <w:pPr>
        <w:spacing w:after="200" w:line="276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bs-Latn-BA"/>
        </w:rPr>
      </w:pP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 xml:space="preserve">Novi informacioni sistem za upravljanje dugom trebao bi biti usklađen sa obavezama koje će proisteći iz novog Zakona o dugu, zaduživanju i garancijama u Federaciji BiH i podzakonskih </w:t>
      </w: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lastRenderedPageBreak/>
        <w:t>propisa donesenih na osnovu Zakona na način da se Zakonom utvrđena ograničenja i obaveze plaćanja prate automatski, da pruža mogućnost ispunjenja svih Zakonom definisanih obaveza vezanih za evidencije o javnim dugovima, garancijama, sredstvima osiguranja, da daje mogućnost sveobuhvatne analize i praćenja dugova u skladu sa svim relevantnim međunarodnim standardima, da je omogućen proces praćenja i izvještavanja u vezi sa limitima zaduženja i izloženosti, kao i povezanih kontrola, i to na način da svaki kanton, grad i općina evidentiraju i prate podatke o zaduženju i garancijama kantona, grada, odnosno općine, uključujući i dug javnih preduzeća iz svoje nadležnosti, te da ima mogućnost razmjene podataka o dugu svakog nivoa vlasti i da omogućava standardne izvještaje i daje mogućnost kreiranja pojedinih prilagođenih izvještaja i prikaza podataka u sistemu.</w:t>
      </w:r>
    </w:p>
    <w:p w:rsidR="0006729F" w:rsidRPr="0006729F" w:rsidRDefault="0006729F" w:rsidP="0006729F">
      <w:pPr>
        <w:spacing w:after="200" w:line="276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bs-Latn-BA"/>
        </w:rPr>
      </w:pPr>
      <w:r w:rsidRPr="0006729F">
        <w:rPr>
          <w:rFonts w:ascii="Times New Roman" w:eastAsiaTheme="minorEastAsia" w:hAnsi="Times New Roman"/>
          <w:noProof/>
          <w:sz w:val="24"/>
          <w:szCs w:val="24"/>
          <w:lang w:eastAsia="bs-Latn-BA"/>
        </w:rPr>
        <w:t xml:space="preserve">Ugovaranje novih zaduživanja također podrazumijeva analizu i pažljivu selekciju, u zavisnosti od potreba za finansiranjem i dostupnih izvora finansiranja, a u svrhu realizacije ciljeva upravljanja dugom. </w:t>
      </w:r>
    </w:p>
    <w:p w:rsidR="0006729F" w:rsidRPr="00A420AE" w:rsidRDefault="0006729F" w:rsidP="0006729F">
      <w:pPr>
        <w:spacing w:after="0" w:line="276" w:lineRule="auto"/>
        <w:jc w:val="both"/>
        <w:rPr>
          <w:rFonts w:ascii="Arial" w:eastAsiaTheme="minorEastAsia" w:hAnsi="Arial" w:cs="Arial"/>
          <w:noProof/>
          <w:color w:val="FF0000"/>
          <w:sz w:val="24"/>
          <w:szCs w:val="24"/>
        </w:rPr>
      </w:pPr>
    </w:p>
    <w:p w:rsidR="004746F9" w:rsidRDefault="004746F9" w:rsidP="00D27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46F9" w:rsidRDefault="004746F9" w:rsidP="004746F9">
      <w:pPr>
        <w:jc w:val="both"/>
        <w:rPr>
          <w:rFonts w:ascii="Times New Roman" w:hAnsi="Times New Roman"/>
          <w:sz w:val="24"/>
          <w:szCs w:val="24"/>
        </w:rPr>
      </w:pPr>
    </w:p>
    <w:p w:rsidR="004746F9" w:rsidRDefault="004746F9" w:rsidP="004746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79191D">
        <w:rPr>
          <w:rFonts w:ascii="Times New Roman" w:hAnsi="Times New Roman"/>
          <w:sz w:val="24"/>
          <w:szCs w:val="24"/>
        </w:rPr>
        <w:t>MINISTAR</w:t>
      </w:r>
    </w:p>
    <w:p w:rsidR="00171A8B" w:rsidRDefault="00171A8B" w:rsidP="004746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</w:t>
      </w:r>
    </w:p>
    <w:p w:rsidR="004746F9" w:rsidRPr="00DC06D7" w:rsidRDefault="004746F9" w:rsidP="004746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96E3A">
        <w:rPr>
          <w:rFonts w:ascii="Times New Roman" w:hAnsi="Times New Roman"/>
          <w:sz w:val="24"/>
          <w:szCs w:val="24"/>
        </w:rPr>
        <w:t xml:space="preserve">    </w:t>
      </w:r>
      <w:r w:rsidR="0079191D">
        <w:rPr>
          <w:rFonts w:ascii="Times New Roman" w:hAnsi="Times New Roman"/>
          <w:sz w:val="24"/>
          <w:szCs w:val="24"/>
        </w:rPr>
        <w:t>dr.sci. Vedran Prša</w:t>
      </w:r>
    </w:p>
    <w:p w:rsidR="004746F9" w:rsidRPr="00DC06D7" w:rsidRDefault="004746F9" w:rsidP="004746F9">
      <w:pPr>
        <w:jc w:val="both"/>
        <w:rPr>
          <w:rFonts w:ascii="Times New Roman" w:hAnsi="Times New Roman"/>
          <w:b/>
          <w:bCs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FFFFFF"/>
          <w:sz w:val="24"/>
          <w:szCs w:val="24"/>
        </w:rPr>
        <w:t>ZZZZZZZZZZZZZZZZZZZZZZZZZZZZZZZZZZZZZZZZzzzzzzzzZikrija zzzzzzzzzzzzzzzzzzzzzzzzzzzzzzzzzzzzzzzzzzzzzzzzzzzzzzzzzzZZZZZ</w:t>
      </w:r>
    </w:p>
    <w:p w:rsidR="004746F9" w:rsidRPr="00DC06D7" w:rsidRDefault="004746F9" w:rsidP="004746F9">
      <w:pPr>
        <w:jc w:val="both"/>
        <w:rPr>
          <w:rFonts w:ascii="Times New Roman" w:hAnsi="Times New Roman"/>
          <w:b/>
          <w:bCs/>
          <w:color w:val="FFFFFF"/>
          <w:sz w:val="24"/>
          <w:szCs w:val="24"/>
        </w:rPr>
      </w:pPr>
    </w:p>
    <w:p w:rsidR="004746F9" w:rsidRPr="00DC06D7" w:rsidRDefault="004746F9" w:rsidP="004746F9">
      <w:pPr>
        <w:jc w:val="both"/>
        <w:rPr>
          <w:rFonts w:ascii="Times New Roman" w:hAnsi="Times New Roman"/>
          <w:b/>
          <w:bCs/>
          <w:color w:val="FFFFFF"/>
          <w:sz w:val="24"/>
          <w:szCs w:val="24"/>
        </w:rPr>
      </w:pPr>
    </w:p>
    <w:p w:rsidR="004746F9" w:rsidRPr="00DC06D7" w:rsidRDefault="004746F9" w:rsidP="004746F9">
      <w:pPr>
        <w:jc w:val="both"/>
        <w:rPr>
          <w:rFonts w:ascii="Times New Roman" w:hAnsi="Times New Roman"/>
          <w:b/>
          <w:bCs/>
          <w:color w:val="FFFFFF"/>
          <w:sz w:val="24"/>
          <w:szCs w:val="24"/>
        </w:rPr>
      </w:pPr>
      <w:r w:rsidRPr="00DC06D7">
        <w:rPr>
          <w:rFonts w:ascii="Times New Roman" w:hAnsi="Times New Roman"/>
          <w:b/>
          <w:bCs/>
          <w:color w:val="FFFFFF"/>
          <w:sz w:val="24"/>
          <w:szCs w:val="24"/>
        </w:rPr>
        <w:t>ke</w:t>
      </w:r>
    </w:p>
    <w:p w:rsidR="004746F9" w:rsidRPr="00354BB4" w:rsidRDefault="004746F9" w:rsidP="004746F9">
      <w:pPr>
        <w:jc w:val="both"/>
        <w:rPr>
          <w:rFonts w:ascii="Times New Roman" w:hAnsi="Times New Roman"/>
          <w:sz w:val="24"/>
          <w:szCs w:val="24"/>
        </w:rPr>
      </w:pPr>
      <w:r w:rsidRPr="00DC06D7">
        <w:rPr>
          <w:rFonts w:ascii="Times New Roman" w:hAnsi="Times New Roman"/>
          <w:b/>
          <w:bCs/>
          <w:color w:val="FFFFFF"/>
          <w:sz w:val="24"/>
          <w:szCs w:val="24"/>
        </w:rPr>
        <w:t>akroek</w:t>
      </w:r>
      <w:r w:rsidRPr="00354BB4">
        <w:rPr>
          <w:rFonts w:ascii="Times New Roman" w:hAnsi="Times New Roman"/>
          <w:b/>
          <w:bCs/>
          <w:color w:val="FFFFFF"/>
          <w:sz w:val="24"/>
          <w:szCs w:val="24"/>
        </w:rPr>
        <w:t>onomska</w:t>
      </w:r>
    </w:p>
    <w:p w:rsidR="00F377E3" w:rsidRPr="0006729F" w:rsidRDefault="005720EF">
      <w:pPr>
        <w:rPr>
          <w:rFonts w:ascii="Times New Roman" w:hAnsi="Times New Roman"/>
          <w:sz w:val="24"/>
          <w:szCs w:val="24"/>
        </w:rPr>
      </w:pPr>
      <w:r>
        <w:t xml:space="preserve"> </w:t>
      </w:r>
    </w:p>
    <w:sectPr w:rsidR="00F377E3" w:rsidRPr="0006729F" w:rsidSect="00957927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6EE" w:rsidRDefault="00D526EE">
      <w:pPr>
        <w:spacing w:after="0" w:line="240" w:lineRule="auto"/>
      </w:pPr>
      <w:r>
        <w:separator/>
      </w:r>
    </w:p>
  </w:endnote>
  <w:endnote w:type="continuationSeparator" w:id="0">
    <w:p w:rsidR="00D526EE" w:rsidRDefault="00D5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A92" w:rsidRDefault="00C82A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C82A92" w:rsidRDefault="00C82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6EE" w:rsidRDefault="00D526EE">
      <w:pPr>
        <w:spacing w:after="0" w:line="240" w:lineRule="auto"/>
      </w:pPr>
      <w:r>
        <w:separator/>
      </w:r>
    </w:p>
  </w:footnote>
  <w:footnote w:type="continuationSeparator" w:id="0">
    <w:p w:rsidR="00D526EE" w:rsidRDefault="00D526EE">
      <w:pPr>
        <w:spacing w:after="0" w:line="240" w:lineRule="auto"/>
      </w:pPr>
      <w:r>
        <w:continuationSeparator/>
      </w:r>
    </w:p>
  </w:footnote>
  <w:footnote w:id="1">
    <w:p w:rsidR="00C82A92" w:rsidRDefault="00C82A92" w:rsidP="00650F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„</w:t>
      </w:r>
      <w:r>
        <w:rPr>
          <w:rFonts w:ascii="Arial" w:hAnsi="Arial" w:cs="Arial"/>
          <w:sz w:val="18"/>
          <w:szCs w:val="18"/>
        </w:rPr>
        <w:t>Službene novine Federacije BiH“ , broj</w:t>
      </w:r>
      <w:r w:rsidRPr="006A1907">
        <w:rPr>
          <w:rFonts w:ascii="Arial" w:hAnsi="Arial" w:cs="Arial"/>
          <w:sz w:val="18"/>
          <w:szCs w:val="18"/>
        </w:rPr>
        <w:t xml:space="preserve"> 102/13, 9/14, 13/14, 8/15, 91/15, 102/15, 104/16, 5/18</w:t>
      </w:r>
      <w:r>
        <w:rPr>
          <w:rFonts w:ascii="Arial" w:hAnsi="Arial" w:cs="Arial"/>
          <w:sz w:val="18"/>
          <w:szCs w:val="18"/>
        </w:rPr>
        <w:t>, 44/18 i 11/19</w:t>
      </w:r>
    </w:p>
  </w:footnote>
  <w:footnote w:id="2">
    <w:p w:rsidR="00C82A92" w:rsidRPr="005851C8" w:rsidRDefault="00C82A92" w:rsidP="00EC3BB8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5851C8"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851C8"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GECFIN,European economic forecast,WinterInterim,februar 2019.</w:t>
      </w:r>
    </w:p>
  </w:footnote>
  <w:footnote w:id="3">
    <w:p w:rsidR="00C82A92" w:rsidRDefault="00C82A92" w:rsidP="00EC3BB8">
      <w:pPr>
        <w:pStyle w:val="FootnoteText"/>
      </w:pPr>
      <w:r w:rsidRPr="005851C8">
        <w:rPr>
          <w:rFonts w:ascii="Times New Roman" w:hAnsi="Times New Roman" w:cs="Times New Roman"/>
          <w:vertAlign w:val="superscript"/>
        </w:rPr>
        <w:t>3</w:t>
      </w:r>
      <w:r>
        <w:t xml:space="preserve"> </w:t>
      </w:r>
      <w:r w:rsidRPr="005851C8">
        <w:rPr>
          <w:rFonts w:ascii="Times New Roman" w:hAnsi="Times New Roman" w:cs="Times New Roman"/>
          <w:sz w:val="16"/>
        </w:rPr>
        <w:t>DEP; DOB-Makroekonomske projekcije 2020-2022, mart 2019</w:t>
      </w:r>
      <w:r>
        <w:t>.</w:t>
      </w:r>
    </w:p>
  </w:footnote>
  <w:footnote w:id="4">
    <w:p w:rsidR="00C82A92" w:rsidRPr="00782D10" w:rsidRDefault="00C82A92" w:rsidP="009E4D49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782D10">
        <w:rPr>
          <w:rFonts w:ascii="Arial" w:hAnsi="Arial" w:cs="Arial"/>
        </w:rPr>
        <w:t>FZS, Saopćenje: Zaposleni po područjima KD 2010 za februar 2019 (prvi rezultati), br.8.2.2. od 16.4.2019. godine</w:t>
      </w:r>
    </w:p>
  </w:footnote>
  <w:footnote w:id="5">
    <w:p w:rsidR="00C82A92" w:rsidRPr="00782D10" w:rsidRDefault="00C82A92" w:rsidP="009E4D49">
      <w:pPr>
        <w:pStyle w:val="FootnoteText"/>
        <w:jc w:val="both"/>
        <w:rPr>
          <w:rFonts w:ascii="Arial" w:hAnsi="Arial" w:cs="Arial"/>
        </w:rPr>
      </w:pPr>
      <w:r w:rsidRPr="00782D10">
        <w:rPr>
          <w:rStyle w:val="FootnoteReference"/>
          <w:rFonts w:ascii="Arial" w:hAnsi="Arial" w:cs="Arial"/>
        </w:rPr>
        <w:footnoteRef/>
      </w:r>
      <w:r w:rsidRPr="00782D10">
        <w:rPr>
          <w:rFonts w:ascii="Arial" w:hAnsi="Arial" w:cs="Arial"/>
        </w:rPr>
        <w:t xml:space="preserve"> FZS, Saopćenje: Prosječna bruto i neto plaća zaposlenih po područjima KD 2010 za februar 2019, br.8.1.2. od 16.4.2019. godine</w:t>
      </w:r>
    </w:p>
  </w:footnote>
  <w:footnote w:id="6">
    <w:p w:rsidR="00C82A92" w:rsidRPr="00933C72" w:rsidRDefault="00C82A92" w:rsidP="0006729F">
      <w:pPr>
        <w:pStyle w:val="FootnoteText"/>
        <w:jc w:val="both"/>
        <w:rPr>
          <w:rFonts w:ascii="Times New Roman" w:hAnsi="Times New Roman" w:cs="Times New Roman"/>
        </w:rPr>
      </w:pPr>
      <w:r w:rsidRPr="007848A1">
        <w:rPr>
          <w:rStyle w:val="FootnoteReference"/>
          <w:rFonts w:ascii="Arial Narrow" w:hAnsi="Arial Narrow"/>
          <w:sz w:val="16"/>
          <w:szCs w:val="16"/>
        </w:rPr>
        <w:footnoteRef/>
      </w:r>
      <w:r w:rsidRPr="007848A1">
        <w:rPr>
          <w:rFonts w:ascii="Arial Narrow" w:hAnsi="Arial Narrow"/>
          <w:sz w:val="16"/>
          <w:szCs w:val="16"/>
        </w:rPr>
        <w:t xml:space="preserve"> </w:t>
      </w:r>
      <w:r w:rsidRPr="00933C72">
        <w:rPr>
          <w:rFonts w:ascii="Times New Roman" w:hAnsi="Times New Roman" w:cs="Times New Roman"/>
        </w:rPr>
        <w:t>Donošenje programa javnih investicija zakonska je obaveza, kako za Vladu Federacije BiH, tako i kantonalne vlade</w:t>
      </w:r>
    </w:p>
  </w:footnote>
  <w:footnote w:id="7">
    <w:p w:rsidR="00C82A92" w:rsidRPr="00933C72" w:rsidRDefault="00C82A92" w:rsidP="0006729F">
      <w:pPr>
        <w:pStyle w:val="FootnoteText"/>
        <w:jc w:val="both"/>
        <w:rPr>
          <w:rFonts w:ascii="Times New Roman" w:hAnsi="Times New Roman" w:cs="Times New Roman"/>
        </w:rPr>
      </w:pPr>
      <w:r w:rsidRPr="00933C72">
        <w:rPr>
          <w:rStyle w:val="FootnoteReference"/>
          <w:rFonts w:ascii="Times New Roman" w:hAnsi="Times New Roman" w:cs="Times New Roman"/>
        </w:rPr>
        <w:footnoteRef/>
      </w:r>
      <w:r w:rsidRPr="00933C72">
        <w:rPr>
          <w:rFonts w:ascii="Times New Roman" w:hAnsi="Times New Roman" w:cs="Times New Roman"/>
        </w:rPr>
        <w:t xml:space="preserve"> Kvartalno i godišnje izvještavanje: kvartalni izvještaji o dugu kantona i Informacije o vanjskom i unutrašnjem dugu u kantona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72D3"/>
    <w:multiLevelType w:val="hybridMultilevel"/>
    <w:tmpl w:val="E4ECB8A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6DB9"/>
    <w:multiLevelType w:val="hybridMultilevel"/>
    <w:tmpl w:val="580A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46"/>
    <w:multiLevelType w:val="hybridMultilevel"/>
    <w:tmpl w:val="FA260ED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E84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95500"/>
    <w:multiLevelType w:val="hybridMultilevel"/>
    <w:tmpl w:val="3BA69B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E13D2"/>
    <w:multiLevelType w:val="hybridMultilevel"/>
    <w:tmpl w:val="4CC0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C29EF"/>
    <w:multiLevelType w:val="hybridMultilevel"/>
    <w:tmpl w:val="BD98F05C"/>
    <w:lvl w:ilvl="0" w:tplc="1A848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4631F"/>
    <w:multiLevelType w:val="multilevel"/>
    <w:tmpl w:val="B7221E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C76E2F"/>
    <w:multiLevelType w:val="hybridMultilevel"/>
    <w:tmpl w:val="CE1E03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22ED0"/>
    <w:multiLevelType w:val="hybridMultilevel"/>
    <w:tmpl w:val="DA0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465AA"/>
    <w:multiLevelType w:val="hybridMultilevel"/>
    <w:tmpl w:val="75A4874A"/>
    <w:lvl w:ilvl="0" w:tplc="DA8018B6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15827"/>
    <w:multiLevelType w:val="hybridMultilevel"/>
    <w:tmpl w:val="19C4C6B0"/>
    <w:lvl w:ilvl="0" w:tplc="DE9CB27A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5281F"/>
    <w:multiLevelType w:val="hybridMultilevel"/>
    <w:tmpl w:val="B336BB9C"/>
    <w:lvl w:ilvl="0" w:tplc="EDE063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16B1"/>
    <w:multiLevelType w:val="hybridMultilevel"/>
    <w:tmpl w:val="78AE222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F7E"/>
    <w:multiLevelType w:val="hybridMultilevel"/>
    <w:tmpl w:val="46CA2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C3E99"/>
    <w:multiLevelType w:val="hybridMultilevel"/>
    <w:tmpl w:val="6728DFF4"/>
    <w:lvl w:ilvl="0" w:tplc="141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850BA"/>
    <w:multiLevelType w:val="hybridMultilevel"/>
    <w:tmpl w:val="63C2A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00193"/>
    <w:multiLevelType w:val="hybridMultilevel"/>
    <w:tmpl w:val="D402EC42"/>
    <w:lvl w:ilvl="0" w:tplc="204A0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7345D"/>
    <w:multiLevelType w:val="hybridMultilevel"/>
    <w:tmpl w:val="A97A1F20"/>
    <w:lvl w:ilvl="0" w:tplc="DB6C5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40A59"/>
    <w:multiLevelType w:val="hybridMultilevel"/>
    <w:tmpl w:val="E4C85E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E73DE"/>
    <w:multiLevelType w:val="hybridMultilevel"/>
    <w:tmpl w:val="5422F8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6067A"/>
    <w:multiLevelType w:val="hybridMultilevel"/>
    <w:tmpl w:val="DDC45600"/>
    <w:lvl w:ilvl="0" w:tplc="B6267222">
      <w:start w:val="5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DA639AE"/>
    <w:multiLevelType w:val="hybridMultilevel"/>
    <w:tmpl w:val="21C00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970E4"/>
    <w:multiLevelType w:val="hybridMultilevel"/>
    <w:tmpl w:val="5214394C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3" w15:restartNumberingAfterBreak="0">
    <w:nsid w:val="71DC5DB6"/>
    <w:multiLevelType w:val="hybridMultilevel"/>
    <w:tmpl w:val="BA54CED4"/>
    <w:lvl w:ilvl="0" w:tplc="041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6"/>
  </w:num>
  <w:num w:numId="5">
    <w:abstractNumId w:val="18"/>
  </w:num>
  <w:num w:numId="6">
    <w:abstractNumId w:val="19"/>
  </w:num>
  <w:num w:numId="7">
    <w:abstractNumId w:val="15"/>
  </w:num>
  <w:num w:numId="8">
    <w:abstractNumId w:val="2"/>
  </w:num>
  <w:num w:numId="9">
    <w:abstractNumId w:val="20"/>
  </w:num>
  <w:num w:numId="10">
    <w:abstractNumId w:val="3"/>
  </w:num>
  <w:num w:numId="11">
    <w:abstractNumId w:val="10"/>
  </w:num>
  <w:num w:numId="12">
    <w:abstractNumId w:val="17"/>
  </w:num>
  <w:num w:numId="13">
    <w:abstractNumId w:val="16"/>
  </w:num>
  <w:num w:numId="14">
    <w:abstractNumId w:val="8"/>
  </w:num>
  <w:num w:numId="15">
    <w:abstractNumId w:val="4"/>
  </w:num>
  <w:num w:numId="16">
    <w:abstractNumId w:val="14"/>
  </w:num>
  <w:num w:numId="17">
    <w:abstractNumId w:val="23"/>
  </w:num>
  <w:num w:numId="18">
    <w:abstractNumId w:val="0"/>
  </w:num>
  <w:num w:numId="19">
    <w:abstractNumId w:val="22"/>
  </w:num>
  <w:num w:numId="20">
    <w:abstractNumId w:val="13"/>
  </w:num>
  <w:num w:numId="21">
    <w:abstractNumId w:val="21"/>
  </w:num>
  <w:num w:numId="22">
    <w:abstractNumId w:val="1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F9"/>
    <w:rsid w:val="00005346"/>
    <w:rsid w:val="00023EEA"/>
    <w:rsid w:val="000270A3"/>
    <w:rsid w:val="00036324"/>
    <w:rsid w:val="00036960"/>
    <w:rsid w:val="000421E4"/>
    <w:rsid w:val="000442DC"/>
    <w:rsid w:val="000448BC"/>
    <w:rsid w:val="00051385"/>
    <w:rsid w:val="0006729F"/>
    <w:rsid w:val="00076921"/>
    <w:rsid w:val="0009392A"/>
    <w:rsid w:val="000B1687"/>
    <w:rsid w:val="000B46E0"/>
    <w:rsid w:val="000B4CDA"/>
    <w:rsid w:val="000B5AAE"/>
    <w:rsid w:val="000C3DE2"/>
    <w:rsid w:val="000E049F"/>
    <w:rsid w:val="000F1121"/>
    <w:rsid w:val="00100500"/>
    <w:rsid w:val="00101F7D"/>
    <w:rsid w:val="00112249"/>
    <w:rsid w:val="00132203"/>
    <w:rsid w:val="00134768"/>
    <w:rsid w:val="001602F5"/>
    <w:rsid w:val="00163BE8"/>
    <w:rsid w:val="00171A8B"/>
    <w:rsid w:val="00173C91"/>
    <w:rsid w:val="00174B2B"/>
    <w:rsid w:val="00182527"/>
    <w:rsid w:val="00193D86"/>
    <w:rsid w:val="00194EE5"/>
    <w:rsid w:val="001A1C3B"/>
    <w:rsid w:val="001B3070"/>
    <w:rsid w:val="001B3087"/>
    <w:rsid w:val="001C2FF1"/>
    <w:rsid w:val="001D1ADA"/>
    <w:rsid w:val="001D33CB"/>
    <w:rsid w:val="001E7DF5"/>
    <w:rsid w:val="001F078B"/>
    <w:rsid w:val="001F4773"/>
    <w:rsid w:val="001F778B"/>
    <w:rsid w:val="00205570"/>
    <w:rsid w:val="002125C2"/>
    <w:rsid w:val="00225490"/>
    <w:rsid w:val="0022561A"/>
    <w:rsid w:val="00244D00"/>
    <w:rsid w:val="00250566"/>
    <w:rsid w:val="00251B10"/>
    <w:rsid w:val="0025619E"/>
    <w:rsid w:val="002661DF"/>
    <w:rsid w:val="00276F34"/>
    <w:rsid w:val="00277A54"/>
    <w:rsid w:val="00283253"/>
    <w:rsid w:val="002A49D6"/>
    <w:rsid w:val="002B00E6"/>
    <w:rsid w:val="002B0194"/>
    <w:rsid w:val="002C1BFD"/>
    <w:rsid w:val="002C3E5F"/>
    <w:rsid w:val="002C5908"/>
    <w:rsid w:val="002D38AA"/>
    <w:rsid w:val="002D67D6"/>
    <w:rsid w:val="002E1B08"/>
    <w:rsid w:val="002F2733"/>
    <w:rsid w:val="003218A6"/>
    <w:rsid w:val="003233FD"/>
    <w:rsid w:val="00334C5F"/>
    <w:rsid w:val="00335C69"/>
    <w:rsid w:val="00340AE2"/>
    <w:rsid w:val="00343950"/>
    <w:rsid w:val="003518D5"/>
    <w:rsid w:val="00363384"/>
    <w:rsid w:val="0036554F"/>
    <w:rsid w:val="00383ED4"/>
    <w:rsid w:val="00391778"/>
    <w:rsid w:val="00393FEB"/>
    <w:rsid w:val="00395F22"/>
    <w:rsid w:val="00395F69"/>
    <w:rsid w:val="003B4F37"/>
    <w:rsid w:val="003D35F6"/>
    <w:rsid w:val="003D56E2"/>
    <w:rsid w:val="003E7F2C"/>
    <w:rsid w:val="003F5948"/>
    <w:rsid w:val="00407D27"/>
    <w:rsid w:val="004131E5"/>
    <w:rsid w:val="00414574"/>
    <w:rsid w:val="00415D31"/>
    <w:rsid w:val="00420A18"/>
    <w:rsid w:val="004231C8"/>
    <w:rsid w:val="004448D0"/>
    <w:rsid w:val="00450C56"/>
    <w:rsid w:val="00451176"/>
    <w:rsid w:val="004526B6"/>
    <w:rsid w:val="004551BF"/>
    <w:rsid w:val="004746F9"/>
    <w:rsid w:val="00483871"/>
    <w:rsid w:val="004A5C98"/>
    <w:rsid w:val="004B58B4"/>
    <w:rsid w:val="004C26A1"/>
    <w:rsid w:val="004D5787"/>
    <w:rsid w:val="004E59C3"/>
    <w:rsid w:val="00511D6B"/>
    <w:rsid w:val="00530D74"/>
    <w:rsid w:val="0053237A"/>
    <w:rsid w:val="00544C2D"/>
    <w:rsid w:val="00557BEB"/>
    <w:rsid w:val="005720EF"/>
    <w:rsid w:val="005721E8"/>
    <w:rsid w:val="00575D53"/>
    <w:rsid w:val="00575F0F"/>
    <w:rsid w:val="005846A6"/>
    <w:rsid w:val="00584A45"/>
    <w:rsid w:val="005851C8"/>
    <w:rsid w:val="00590F68"/>
    <w:rsid w:val="0059201C"/>
    <w:rsid w:val="005932D8"/>
    <w:rsid w:val="00593D7A"/>
    <w:rsid w:val="005A03E6"/>
    <w:rsid w:val="005A0EED"/>
    <w:rsid w:val="005C0728"/>
    <w:rsid w:val="005D567D"/>
    <w:rsid w:val="005D6384"/>
    <w:rsid w:val="005E080D"/>
    <w:rsid w:val="005E4725"/>
    <w:rsid w:val="005F3F38"/>
    <w:rsid w:val="005F6EDE"/>
    <w:rsid w:val="00612009"/>
    <w:rsid w:val="00624012"/>
    <w:rsid w:val="006352B9"/>
    <w:rsid w:val="00650FB6"/>
    <w:rsid w:val="0065763D"/>
    <w:rsid w:val="0065778F"/>
    <w:rsid w:val="006601C6"/>
    <w:rsid w:val="00671BEF"/>
    <w:rsid w:val="006737CC"/>
    <w:rsid w:val="00681F21"/>
    <w:rsid w:val="00693A16"/>
    <w:rsid w:val="006B536A"/>
    <w:rsid w:val="006D381F"/>
    <w:rsid w:val="006E3193"/>
    <w:rsid w:val="006F0F90"/>
    <w:rsid w:val="007009FB"/>
    <w:rsid w:val="00700DB7"/>
    <w:rsid w:val="007018E5"/>
    <w:rsid w:val="00701BC0"/>
    <w:rsid w:val="007146D5"/>
    <w:rsid w:val="00732C06"/>
    <w:rsid w:val="00735514"/>
    <w:rsid w:val="00741E1F"/>
    <w:rsid w:val="00745118"/>
    <w:rsid w:val="00745E7C"/>
    <w:rsid w:val="00751C06"/>
    <w:rsid w:val="00781A5B"/>
    <w:rsid w:val="00781E0E"/>
    <w:rsid w:val="00783574"/>
    <w:rsid w:val="0079191D"/>
    <w:rsid w:val="007B0A38"/>
    <w:rsid w:val="007B45C0"/>
    <w:rsid w:val="007C1D3B"/>
    <w:rsid w:val="007C4535"/>
    <w:rsid w:val="007D7B4D"/>
    <w:rsid w:val="007E4238"/>
    <w:rsid w:val="008163FC"/>
    <w:rsid w:val="0081667E"/>
    <w:rsid w:val="00816BC4"/>
    <w:rsid w:val="0083477B"/>
    <w:rsid w:val="00836E40"/>
    <w:rsid w:val="008464C9"/>
    <w:rsid w:val="00860B0E"/>
    <w:rsid w:val="008667BC"/>
    <w:rsid w:val="0087535E"/>
    <w:rsid w:val="00877351"/>
    <w:rsid w:val="008912F2"/>
    <w:rsid w:val="008A6407"/>
    <w:rsid w:val="008B3E12"/>
    <w:rsid w:val="008D2169"/>
    <w:rsid w:val="008D2FBE"/>
    <w:rsid w:val="008D4AEC"/>
    <w:rsid w:val="009146AE"/>
    <w:rsid w:val="00915586"/>
    <w:rsid w:val="00933C72"/>
    <w:rsid w:val="00933D03"/>
    <w:rsid w:val="00935B61"/>
    <w:rsid w:val="00944471"/>
    <w:rsid w:val="0095566D"/>
    <w:rsid w:val="00957927"/>
    <w:rsid w:val="00960097"/>
    <w:rsid w:val="00964A4F"/>
    <w:rsid w:val="00983ED6"/>
    <w:rsid w:val="00984A62"/>
    <w:rsid w:val="00986F21"/>
    <w:rsid w:val="009A1A6E"/>
    <w:rsid w:val="009A63F9"/>
    <w:rsid w:val="009B5BA0"/>
    <w:rsid w:val="009B68EB"/>
    <w:rsid w:val="009C7585"/>
    <w:rsid w:val="009D45EB"/>
    <w:rsid w:val="009E1897"/>
    <w:rsid w:val="009E4D49"/>
    <w:rsid w:val="009F69A7"/>
    <w:rsid w:val="00A000ED"/>
    <w:rsid w:val="00A37CC2"/>
    <w:rsid w:val="00A40DB6"/>
    <w:rsid w:val="00A4653E"/>
    <w:rsid w:val="00A46C98"/>
    <w:rsid w:val="00A470F5"/>
    <w:rsid w:val="00A52016"/>
    <w:rsid w:val="00A5364D"/>
    <w:rsid w:val="00A67721"/>
    <w:rsid w:val="00A703A9"/>
    <w:rsid w:val="00A86D81"/>
    <w:rsid w:val="00A91F87"/>
    <w:rsid w:val="00A9522E"/>
    <w:rsid w:val="00A95249"/>
    <w:rsid w:val="00A9727C"/>
    <w:rsid w:val="00AB1C51"/>
    <w:rsid w:val="00AD06D2"/>
    <w:rsid w:val="00AF22B7"/>
    <w:rsid w:val="00AF2CA4"/>
    <w:rsid w:val="00AF7D2B"/>
    <w:rsid w:val="00B01D5E"/>
    <w:rsid w:val="00B03F88"/>
    <w:rsid w:val="00B0780B"/>
    <w:rsid w:val="00B120B5"/>
    <w:rsid w:val="00B143A8"/>
    <w:rsid w:val="00B14E3C"/>
    <w:rsid w:val="00B16FAB"/>
    <w:rsid w:val="00B20D5D"/>
    <w:rsid w:val="00B4436F"/>
    <w:rsid w:val="00B462EF"/>
    <w:rsid w:val="00B4668F"/>
    <w:rsid w:val="00B64056"/>
    <w:rsid w:val="00B648C0"/>
    <w:rsid w:val="00B747FB"/>
    <w:rsid w:val="00B96E3A"/>
    <w:rsid w:val="00BB3066"/>
    <w:rsid w:val="00BC156A"/>
    <w:rsid w:val="00BC62BD"/>
    <w:rsid w:val="00BD48E3"/>
    <w:rsid w:val="00BF2CE0"/>
    <w:rsid w:val="00C10FC2"/>
    <w:rsid w:val="00C4247E"/>
    <w:rsid w:val="00C51D34"/>
    <w:rsid w:val="00C65AE8"/>
    <w:rsid w:val="00C742B1"/>
    <w:rsid w:val="00C82A92"/>
    <w:rsid w:val="00C876C3"/>
    <w:rsid w:val="00C876C4"/>
    <w:rsid w:val="00C87E8B"/>
    <w:rsid w:val="00CC3F00"/>
    <w:rsid w:val="00CC4BA6"/>
    <w:rsid w:val="00CC664B"/>
    <w:rsid w:val="00CE1203"/>
    <w:rsid w:val="00CF0130"/>
    <w:rsid w:val="00CF5485"/>
    <w:rsid w:val="00CF5B7B"/>
    <w:rsid w:val="00D10FE8"/>
    <w:rsid w:val="00D223B6"/>
    <w:rsid w:val="00D27F7F"/>
    <w:rsid w:val="00D3059D"/>
    <w:rsid w:val="00D31FA0"/>
    <w:rsid w:val="00D321A9"/>
    <w:rsid w:val="00D336A5"/>
    <w:rsid w:val="00D35BB4"/>
    <w:rsid w:val="00D50C78"/>
    <w:rsid w:val="00D526EE"/>
    <w:rsid w:val="00D6052E"/>
    <w:rsid w:val="00D6405B"/>
    <w:rsid w:val="00D646EA"/>
    <w:rsid w:val="00D76571"/>
    <w:rsid w:val="00D80535"/>
    <w:rsid w:val="00DB04D9"/>
    <w:rsid w:val="00DC5298"/>
    <w:rsid w:val="00DD2627"/>
    <w:rsid w:val="00DD49C8"/>
    <w:rsid w:val="00DD5035"/>
    <w:rsid w:val="00DD6BFE"/>
    <w:rsid w:val="00DE02C8"/>
    <w:rsid w:val="00DE4D63"/>
    <w:rsid w:val="00DE6A82"/>
    <w:rsid w:val="00E21892"/>
    <w:rsid w:val="00E371CF"/>
    <w:rsid w:val="00E61798"/>
    <w:rsid w:val="00E90440"/>
    <w:rsid w:val="00E923B7"/>
    <w:rsid w:val="00E94CDA"/>
    <w:rsid w:val="00EB0716"/>
    <w:rsid w:val="00EB1008"/>
    <w:rsid w:val="00EC3BB8"/>
    <w:rsid w:val="00EC3E45"/>
    <w:rsid w:val="00ED07C1"/>
    <w:rsid w:val="00ED5428"/>
    <w:rsid w:val="00EE3B86"/>
    <w:rsid w:val="00EE7C20"/>
    <w:rsid w:val="00EF187E"/>
    <w:rsid w:val="00F07605"/>
    <w:rsid w:val="00F13DEE"/>
    <w:rsid w:val="00F16CFE"/>
    <w:rsid w:val="00F23607"/>
    <w:rsid w:val="00F377E3"/>
    <w:rsid w:val="00F43867"/>
    <w:rsid w:val="00F475EB"/>
    <w:rsid w:val="00F50423"/>
    <w:rsid w:val="00F73EF5"/>
    <w:rsid w:val="00F761C8"/>
    <w:rsid w:val="00F808E2"/>
    <w:rsid w:val="00FA5063"/>
    <w:rsid w:val="00FC7F24"/>
    <w:rsid w:val="00FD0DDD"/>
    <w:rsid w:val="00FD17CA"/>
    <w:rsid w:val="00FD2184"/>
    <w:rsid w:val="00FD526B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0D4F"/>
  <w15:chartTrackingRefBased/>
  <w15:docId w15:val="{98D2CCA5-44CC-4EE2-8F97-79DE9686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6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1"/>
    <w:qFormat/>
    <w:rsid w:val="004746F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4746F9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46F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9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F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74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46F9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746F9"/>
    <w:rPr>
      <w:rFonts w:ascii="Arial" w:eastAsia="Times New Roman" w:hAnsi="Arial" w:cs="Times New Roman"/>
      <w:b/>
      <w:bCs/>
      <w:sz w:val="26"/>
      <w:szCs w:val="26"/>
      <w:lang w:val="en-GB"/>
    </w:rPr>
  </w:style>
  <w:style w:type="paragraph" w:styleId="ListParagraph">
    <w:name w:val="List Paragraph"/>
    <w:aliases w:val="References,Bullets,List Paragraph (numbered (a)),List_Paragraph,Multilevel para_II,Akapit z listą BS,Bullet1,Heading 21,Numbered List Paragraph,Numbered Paragraph,Main numbered paragraph,Colorful List - Accent 11,List Paragraph1,Liste 1"/>
    <w:basedOn w:val="Normal"/>
    <w:link w:val="ListParagraphChar"/>
    <w:uiPriority w:val="34"/>
    <w:qFormat/>
    <w:rsid w:val="004746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6F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6F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Bodytext">
    <w:name w:val="Body text_"/>
    <w:link w:val="Bodytext1"/>
    <w:locked/>
    <w:rsid w:val="004746F9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746F9"/>
    <w:pPr>
      <w:widowControl w:val="0"/>
      <w:shd w:val="clear" w:color="auto" w:fill="FFFFFF"/>
      <w:spacing w:after="0" w:line="288" w:lineRule="exact"/>
      <w:ind w:hanging="2120"/>
      <w:jc w:val="both"/>
    </w:pPr>
    <w:rPr>
      <w:rFonts w:ascii="Arial" w:eastAsiaTheme="minorHAnsi" w:hAnsi="Arial" w:cstheme="minorBidi"/>
      <w:sz w:val="19"/>
      <w:szCs w:val="19"/>
    </w:rPr>
  </w:style>
  <w:style w:type="paragraph" w:styleId="BodyText2">
    <w:name w:val="Body Text 2"/>
    <w:basedOn w:val="Normal"/>
    <w:link w:val="BodyText2Char"/>
    <w:rsid w:val="004746F9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32"/>
      <w:lang w:val="hr-HR"/>
    </w:rPr>
  </w:style>
  <w:style w:type="character" w:customStyle="1" w:styleId="BodyText2Char">
    <w:name w:val="Body Text 2 Char"/>
    <w:basedOn w:val="DefaultParagraphFont"/>
    <w:link w:val="BodyText2"/>
    <w:rsid w:val="004746F9"/>
    <w:rPr>
      <w:rFonts w:ascii="Times New Roman" w:eastAsia="Times New Roman" w:hAnsi="Times New Roman" w:cs="Times New Roman"/>
      <w:bCs/>
      <w:sz w:val="24"/>
      <w:szCs w:val="32"/>
      <w:lang w:val="hr-HR"/>
    </w:rPr>
  </w:style>
  <w:style w:type="character" w:customStyle="1" w:styleId="Heading1Char1">
    <w:name w:val="Heading 1 Char1"/>
    <w:link w:val="Heading1"/>
    <w:rsid w:val="004746F9"/>
    <w:rPr>
      <w:rFonts w:ascii="Arial" w:eastAsia="Times New Roman" w:hAnsi="Arial" w:cs="Times New Roman"/>
      <w:b/>
      <w:bCs/>
      <w:kern w:val="32"/>
      <w:sz w:val="32"/>
      <w:szCs w:val="32"/>
      <w:lang w:val="en-GB"/>
    </w:rPr>
  </w:style>
  <w:style w:type="paragraph" w:customStyle="1" w:styleId="Uobiajeno">
    <w:name w:val="Uobičajeno"/>
    <w:rsid w:val="004746F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4746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6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746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6F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B5B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F6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otnoteText">
    <w:name w:val="footnote text"/>
    <w:aliases w:val=" Char,Footnote Text Char1,Footnote Text Blue,Footnote Text1,Char,Footnote Text Char Char, Char Char Char, Char1 Char, Char1 Char Char,Podrozdział,fn,FOOTNOTES,single space,ADB,ft,Tegn1,Tegn1 Char,Char Char Char,Fußnote,footnote text, Ch,f"/>
    <w:basedOn w:val="Normal"/>
    <w:link w:val="FootnoteTextChar"/>
    <w:uiPriority w:val="99"/>
    <w:unhideWhenUsed/>
    <w:qFormat/>
    <w:rsid w:val="005846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bs-Latn-BA"/>
    </w:rPr>
  </w:style>
  <w:style w:type="character" w:customStyle="1" w:styleId="FootnoteTextChar">
    <w:name w:val="Footnote Text Char"/>
    <w:aliases w:val=" Char Char,Footnote Text Char1 Char,Footnote Text Blue Char,Footnote Text1 Char,Char Char,Footnote Text Char Char Char, Char Char Char Char, Char1 Char Char1, Char1 Char Char Char,Podrozdział Char,fn Char,FOOTNOTES Char,ADB Char"/>
    <w:basedOn w:val="DefaultParagraphFont"/>
    <w:link w:val="FootnoteText"/>
    <w:uiPriority w:val="99"/>
    <w:rsid w:val="005846A6"/>
    <w:rPr>
      <w:sz w:val="20"/>
      <w:szCs w:val="20"/>
      <w:lang w:val="bs-Latn-BA"/>
    </w:rPr>
  </w:style>
  <w:style w:type="character" w:styleId="FootnoteReference">
    <w:name w:val="footnote reference"/>
    <w:aliases w:val="ftref,Footnote Reference Superscript,BVI fnr,Footnote Reference Number,Footnote Reference_LVL6,Footnote Reference_LVL61,Footnote Reference_LVL62,Footnote Reference_LVL63,Footnote Reference_LVL64,16 Point,Superscript 6 Point,fr"/>
    <w:basedOn w:val="DefaultParagraphFont"/>
    <w:link w:val="BVIfnrZchnCharZchnCharCharCharChar"/>
    <w:uiPriority w:val="99"/>
    <w:unhideWhenUsed/>
    <w:qFormat/>
    <w:rsid w:val="005846A6"/>
    <w:rPr>
      <w:vertAlign w:val="superscript"/>
    </w:rPr>
  </w:style>
  <w:style w:type="paragraph" w:customStyle="1" w:styleId="BVIfnrZchnCharZchnCharCharCharChar">
    <w:name w:val="BVI fnr Zchn Char Zchn Char Char Char Char"/>
    <w:aliases w:val="BVI fnr Car Car Zchn Char Zchn Char Char Char Char,BVI fnr Car Zchn Char Zchn Char Char Char Char"/>
    <w:basedOn w:val="Normal"/>
    <w:link w:val="FootnoteReference"/>
    <w:uiPriority w:val="99"/>
    <w:rsid w:val="005846A6"/>
    <w:pPr>
      <w:spacing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Heading 21 Char,Numbered List Paragraph Char,Numbered Paragraph Char,List Paragraph1 Char"/>
    <w:link w:val="ListParagraph"/>
    <w:uiPriority w:val="34"/>
    <w:rsid w:val="009C758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7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23EE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23EE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23EE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D49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FA50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5063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F475EB"/>
    <w:pPr>
      <w:spacing w:after="100"/>
      <w:ind w:left="660"/>
    </w:pPr>
  </w:style>
  <w:style w:type="paragraph" w:styleId="NoSpacing">
    <w:name w:val="No Spacing"/>
    <w:link w:val="NoSpacingChar"/>
    <w:uiPriority w:val="1"/>
    <w:qFormat/>
    <w:rsid w:val="0095792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927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57927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5792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9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57927"/>
    <w:rPr>
      <w:rFonts w:eastAsiaTheme="minorEastAsia" w:cs="Times New Roman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Maj.  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C39E6F-4871-4E53-830F-E67777D9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9826</Words>
  <Characters>56011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ekonomske I fiskalne politike</vt:lpstr>
    </vt:vector>
  </TitlesOfParts>
  <Company>Ministarstvo finansija Unsko-sanskog kantona</Company>
  <LinksUpToDate>false</LinksUpToDate>
  <CharactersWithSpaces>65706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ekonomske I fiskalne politike</dc:title>
  <dc:subject/>
  <dc:creator>zlatan</dc:creator>
  <cp:keywords/>
  <dc:description/>
  <cp:lastModifiedBy>budzet12</cp:lastModifiedBy>
  <cp:revision>3</cp:revision>
  <cp:lastPrinted>2019-05-29T06:33:00Z</cp:lastPrinted>
  <dcterms:created xsi:type="dcterms:W3CDTF">2019-05-29T07:11:00Z</dcterms:created>
  <dcterms:modified xsi:type="dcterms:W3CDTF">2019-06-10T08:19:00Z</dcterms:modified>
</cp:coreProperties>
</file>